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532" w:rsidRPr="00BF4E75" w:rsidRDefault="00BF4E75" w:rsidP="00BF4E75">
      <w:pPr>
        <w:jc w:val="center"/>
        <w:rPr>
          <w:b/>
        </w:rPr>
      </w:pPr>
      <w:r w:rsidRPr="00BF4E75">
        <w:rPr>
          <w:b/>
        </w:rPr>
        <w:t>Exempt Categories</w:t>
      </w:r>
    </w:p>
    <w:p w:rsidR="00BF4E75" w:rsidRDefault="00BF4E75" w:rsidP="00BF4E75">
      <w:pPr>
        <w:ind w:left="270"/>
      </w:pPr>
    </w:p>
    <w:p w:rsidR="00BF4E75" w:rsidRDefault="00BF4E75" w:rsidP="00BF4E75">
      <w:pPr>
        <w:pStyle w:val="ListParagraph"/>
        <w:numPr>
          <w:ilvl w:val="0"/>
          <w:numId w:val="2"/>
        </w:numPr>
      </w:pPr>
      <w:r w:rsidRPr="00BF4E75">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rsidR="00BF4E75" w:rsidRPr="00BF4E75" w:rsidRDefault="00BF4E75" w:rsidP="00BF4E75">
      <w:pPr>
        <w:pStyle w:val="ListParagraph"/>
      </w:pPr>
    </w:p>
    <w:p w:rsidR="00BF4E75" w:rsidRPr="00BF4E75" w:rsidRDefault="00BF4E75" w:rsidP="00BF4E75">
      <w:pPr>
        <w:pStyle w:val="ListParagraph"/>
        <w:numPr>
          <w:ilvl w:val="0"/>
          <w:numId w:val="2"/>
        </w:numPr>
      </w:pPr>
      <w:r w:rsidRPr="00BF4E75">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rsidR="00BF4E75" w:rsidRPr="00BF4E75" w:rsidRDefault="00BF4E75" w:rsidP="00F667FE">
      <w:pPr>
        <w:pStyle w:val="ListParagraph"/>
        <w:numPr>
          <w:ilvl w:val="1"/>
          <w:numId w:val="2"/>
        </w:numPr>
        <w:ind w:left="1440" w:hanging="360"/>
      </w:pPr>
      <w:r w:rsidRPr="00BF4E75">
        <w:t>The information obtained is recorded by the investigator in such a manner that the identity of the human subjects cannot readily be ascertained, directly or through identifiers linked to the subjects;</w:t>
      </w:r>
    </w:p>
    <w:p w:rsidR="00BF4E75" w:rsidRPr="00BF4E75" w:rsidRDefault="00BF4E75" w:rsidP="00F667FE">
      <w:pPr>
        <w:pStyle w:val="ListParagraph"/>
        <w:numPr>
          <w:ilvl w:val="1"/>
          <w:numId w:val="2"/>
        </w:numPr>
        <w:ind w:left="1440" w:hanging="360"/>
      </w:pPr>
      <w:r w:rsidRPr="00BF4E75">
        <w:t>Any disclosure of the human subjects' responses outside the research would not reasonably place the subjects at risk of criminal or civil liability or be damaging to the subjects' financial standing, employability, educational advancement, or reputation; or</w:t>
      </w:r>
    </w:p>
    <w:p w:rsidR="00BF4E75" w:rsidRDefault="00BF4E75" w:rsidP="00F667FE">
      <w:pPr>
        <w:pStyle w:val="ListParagraph"/>
        <w:numPr>
          <w:ilvl w:val="1"/>
          <w:numId w:val="2"/>
        </w:numPr>
        <w:ind w:left="1440" w:hanging="360"/>
      </w:pPr>
      <w:r w:rsidRPr="00BF4E75">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BF4E75" w:rsidRPr="00BF4E75" w:rsidRDefault="00BF4E75" w:rsidP="00BF4E75"/>
    <w:p w:rsidR="00BF4E75" w:rsidRPr="00BF4E75" w:rsidRDefault="00BF4E75" w:rsidP="00BF4E75">
      <w:pPr>
        <w:pStyle w:val="ListParagraph"/>
        <w:numPr>
          <w:ilvl w:val="0"/>
          <w:numId w:val="2"/>
        </w:numPr>
      </w:pPr>
      <w:r w:rsidRPr="00BF4E75">
        <w:t>(</w:t>
      </w:r>
      <w:proofErr w:type="spellStart"/>
      <w:r w:rsidRPr="00BF4E75">
        <w:t>i</w:t>
      </w:r>
      <w:proofErr w:type="spellEnd"/>
      <w:r w:rsidRPr="00BF4E75">
        <w:t>)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rsidR="00BF4E75" w:rsidRPr="00BF4E75" w:rsidRDefault="00BF4E75" w:rsidP="00F667FE">
      <w:pPr>
        <w:pStyle w:val="ListParagraph"/>
        <w:numPr>
          <w:ilvl w:val="2"/>
          <w:numId w:val="2"/>
        </w:numPr>
        <w:ind w:left="1800"/>
      </w:pPr>
      <w:r w:rsidRPr="00BF4E75">
        <w:t>The information obtained is recorded by the investigator in such a manner that the identity of the human subjects cannot readily be ascertained, directly or through identifiers linked to the subjects;</w:t>
      </w:r>
    </w:p>
    <w:p w:rsidR="00BF4E75" w:rsidRPr="00BF4E75" w:rsidRDefault="00BF4E75" w:rsidP="00F667FE">
      <w:pPr>
        <w:pStyle w:val="ListParagraph"/>
        <w:numPr>
          <w:ilvl w:val="2"/>
          <w:numId w:val="2"/>
        </w:numPr>
        <w:ind w:left="1800"/>
      </w:pPr>
      <w:r w:rsidRPr="00BF4E75">
        <w:t>Any disclosure of the human subjects' responses outside the research would not reasonably place the subjects at risk of criminal or civil liability or be damaging to the subjects' financial standing, employability, educational advancement, or reputation; or</w:t>
      </w:r>
    </w:p>
    <w:p w:rsidR="00BF4E75" w:rsidRPr="00BF4E75" w:rsidRDefault="00BF4E75" w:rsidP="00F667FE">
      <w:pPr>
        <w:pStyle w:val="ListParagraph"/>
        <w:numPr>
          <w:ilvl w:val="2"/>
          <w:numId w:val="2"/>
        </w:numPr>
        <w:ind w:left="1800"/>
      </w:pPr>
      <w:r w:rsidRPr="00BF4E75">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BF4E75" w:rsidRPr="00BF4E75" w:rsidRDefault="00BF4E75" w:rsidP="00F667FE">
      <w:pPr>
        <w:pStyle w:val="ListParagraph"/>
        <w:numPr>
          <w:ilvl w:val="1"/>
          <w:numId w:val="2"/>
        </w:numPr>
        <w:ind w:left="1080" w:hanging="360"/>
      </w:pPr>
      <w:r w:rsidRPr="00BF4E75">
        <w:t xml:space="preserve">For the purpose of this provision, benign behavioral interventions are brief in duration, harmless, painless, not physically invasive, not likely to have a significant adverse lasting impact on the subjects, and the investigator has no reason to think </w:t>
      </w:r>
      <w:r w:rsidRPr="00BF4E75">
        <w:lastRenderedPageBreak/>
        <w:t>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rsidR="00BF4E75" w:rsidRDefault="00BF4E75" w:rsidP="00F667FE">
      <w:pPr>
        <w:pStyle w:val="ListParagraph"/>
        <w:numPr>
          <w:ilvl w:val="1"/>
          <w:numId w:val="2"/>
        </w:numPr>
        <w:ind w:left="1080" w:hanging="360"/>
      </w:pPr>
      <w:r w:rsidRPr="00BF4E75">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rsidR="00BF4E75" w:rsidRPr="00BF4E75" w:rsidRDefault="00BF4E75" w:rsidP="00BF4E75"/>
    <w:p w:rsidR="00BF4E75" w:rsidRPr="00BF4E75" w:rsidRDefault="00BF4E75" w:rsidP="00BF4E75">
      <w:pPr>
        <w:pStyle w:val="ListParagraph"/>
        <w:numPr>
          <w:ilvl w:val="0"/>
          <w:numId w:val="2"/>
        </w:numPr>
      </w:pPr>
      <w:r w:rsidRPr="00BF4E75">
        <w:t>Secondary research for which consent is not required: Secondary research uses of identifiable private information or identifiable biospecimens, if at least one of the following criteria is met:</w:t>
      </w:r>
    </w:p>
    <w:p w:rsidR="00BF4E75" w:rsidRPr="00BF4E75" w:rsidRDefault="00BF4E75" w:rsidP="00F667FE">
      <w:pPr>
        <w:pStyle w:val="ListParagraph"/>
        <w:numPr>
          <w:ilvl w:val="1"/>
          <w:numId w:val="2"/>
        </w:numPr>
        <w:ind w:left="1440" w:hanging="360"/>
      </w:pPr>
      <w:r w:rsidRPr="00BF4E75">
        <w:t>The identifiable private information or identifiable biospecimens are publicly available;</w:t>
      </w:r>
    </w:p>
    <w:p w:rsidR="00BF4E75" w:rsidRPr="00BF4E75" w:rsidRDefault="00BF4E75" w:rsidP="00F667FE">
      <w:pPr>
        <w:pStyle w:val="ListParagraph"/>
        <w:numPr>
          <w:ilvl w:val="1"/>
          <w:numId w:val="2"/>
        </w:numPr>
        <w:ind w:left="1440" w:hanging="360"/>
      </w:pPr>
      <w:r w:rsidRPr="00BF4E75">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rsidR="00BF4E75" w:rsidRPr="00BF4E75" w:rsidRDefault="00BF4E75" w:rsidP="00F667FE">
      <w:pPr>
        <w:pStyle w:val="ListParagraph"/>
        <w:numPr>
          <w:ilvl w:val="1"/>
          <w:numId w:val="2"/>
        </w:numPr>
        <w:ind w:left="1440" w:hanging="360"/>
      </w:pPr>
      <w:r w:rsidRPr="00BF4E75">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rsidR="00BF4E75" w:rsidRPr="00BF4E75" w:rsidRDefault="00BF4E75" w:rsidP="00F667FE">
      <w:pPr>
        <w:pStyle w:val="ListParagraph"/>
        <w:numPr>
          <w:ilvl w:val="1"/>
          <w:numId w:val="2"/>
        </w:numPr>
        <w:ind w:left="1440" w:hanging="360"/>
      </w:pPr>
      <w:r w:rsidRPr="00BF4E75">
        <w:t xml:space="preserve">The research is conducted by, or on behalf of, a Federal department or agency using government-generated or government-collected information obtained for </w:t>
      </w:r>
      <w:proofErr w:type="spellStart"/>
      <w:r w:rsidRPr="00BF4E75">
        <w:t>nonresearch</w:t>
      </w:r>
      <w:proofErr w:type="spellEnd"/>
      <w:r w:rsidRPr="00BF4E75">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w:t>
      </w:r>
      <w:r w:rsidRPr="00BF4E75">
        <w:rPr>
          <w:i/>
          <w:iCs/>
        </w:rPr>
        <w:t>.</w:t>
      </w:r>
    </w:p>
    <w:p w:rsidR="00BF4E75" w:rsidRDefault="00BF4E75" w:rsidP="00BF4E75"/>
    <w:p w:rsidR="00BF4E75" w:rsidRPr="00BF4E75" w:rsidRDefault="00BF4E75" w:rsidP="00BF4E75">
      <w:pPr>
        <w:pStyle w:val="ListParagraph"/>
        <w:numPr>
          <w:ilvl w:val="0"/>
          <w:numId w:val="2"/>
        </w:numPr>
      </w:pPr>
      <w:r w:rsidRPr="00BF4E75">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w:t>
      </w:r>
      <w:r w:rsidRPr="00BF4E75">
        <w:lastRenderedPageBreak/>
        <w:t>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BF4E75" w:rsidRPr="00BF4E75" w:rsidRDefault="00BF4E75" w:rsidP="00F667FE">
      <w:pPr>
        <w:pStyle w:val="ListParagraph"/>
        <w:numPr>
          <w:ilvl w:val="1"/>
          <w:numId w:val="2"/>
        </w:numPr>
        <w:ind w:left="1440" w:hanging="360"/>
      </w:pPr>
      <w:r w:rsidRPr="00BF4E75">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rsidR="00BF4E75" w:rsidRDefault="00BF4E75" w:rsidP="00BF4E75"/>
    <w:p w:rsidR="00BF4E75" w:rsidRPr="00BF4E75" w:rsidRDefault="00BF4E75" w:rsidP="00BF4E75">
      <w:pPr>
        <w:pStyle w:val="ListParagraph"/>
        <w:numPr>
          <w:ilvl w:val="0"/>
          <w:numId w:val="2"/>
        </w:numPr>
      </w:pPr>
      <w:r w:rsidRPr="00BF4E75">
        <w:t>Taste and food quality evaluation and consumer acceptance studies:</w:t>
      </w:r>
    </w:p>
    <w:p w:rsidR="00BF4E75" w:rsidRPr="00BF4E75" w:rsidRDefault="00BF4E75" w:rsidP="00324808">
      <w:pPr>
        <w:pStyle w:val="ListParagraph"/>
        <w:numPr>
          <w:ilvl w:val="1"/>
          <w:numId w:val="2"/>
        </w:numPr>
        <w:ind w:left="1440" w:hanging="360"/>
      </w:pPr>
      <w:r w:rsidRPr="00BF4E75">
        <w:t>If wholesome foods without additives are consumed, or</w:t>
      </w:r>
    </w:p>
    <w:p w:rsidR="00BF4E75" w:rsidRPr="00BF4E75" w:rsidRDefault="00BF4E75" w:rsidP="00324808">
      <w:pPr>
        <w:pStyle w:val="ListParagraph"/>
        <w:numPr>
          <w:ilvl w:val="1"/>
          <w:numId w:val="2"/>
        </w:numPr>
        <w:ind w:left="1440" w:hanging="360"/>
      </w:pPr>
      <w:r w:rsidRPr="00BF4E75">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BF4E75" w:rsidRDefault="00BF4E75" w:rsidP="00BF4E75"/>
    <w:p w:rsidR="00BF4E75" w:rsidRPr="00BF4E75" w:rsidRDefault="00BF4E75" w:rsidP="00BF4E75">
      <w:pPr>
        <w:pStyle w:val="ListParagraph"/>
        <w:numPr>
          <w:ilvl w:val="0"/>
          <w:numId w:val="2"/>
        </w:numPr>
      </w:pPr>
      <w:r w:rsidRPr="00BF4E75">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§46.111(a)(8).</w:t>
      </w:r>
    </w:p>
    <w:p w:rsidR="00BF4E75" w:rsidRDefault="00BF4E75" w:rsidP="00BF4E75"/>
    <w:p w:rsidR="00BF4E75" w:rsidRPr="00BF4E75" w:rsidRDefault="00BF4E75" w:rsidP="00BF4E75">
      <w:pPr>
        <w:pStyle w:val="ListParagraph"/>
        <w:numPr>
          <w:ilvl w:val="0"/>
          <w:numId w:val="2"/>
        </w:numPr>
      </w:pPr>
      <w:r w:rsidRPr="00BF4E75">
        <w:t>Secondary research for which broad consent is required: Research involving the use of identifiable private information or identifiable biospecimens for secondary research use, if the following criteria are met:</w:t>
      </w:r>
    </w:p>
    <w:p w:rsidR="00BF4E75" w:rsidRPr="00BF4E75" w:rsidRDefault="00BF4E75" w:rsidP="00324808">
      <w:pPr>
        <w:pStyle w:val="ListParagraph"/>
        <w:numPr>
          <w:ilvl w:val="1"/>
          <w:numId w:val="2"/>
        </w:numPr>
        <w:ind w:left="1440" w:hanging="360"/>
      </w:pPr>
      <w:r w:rsidRPr="00BF4E75">
        <w:t>Broad consent for the storage, maintenance, and secondary research use of the identifiable private information or identifiable biospecimens was obtained in accordance with §46.116(a)(1) through (4), (a)(6), and (d);</w:t>
      </w:r>
    </w:p>
    <w:p w:rsidR="00BF4E75" w:rsidRPr="00BF4E75" w:rsidRDefault="00BF4E75" w:rsidP="00324808">
      <w:pPr>
        <w:pStyle w:val="ListParagraph"/>
        <w:numPr>
          <w:ilvl w:val="1"/>
          <w:numId w:val="2"/>
        </w:numPr>
        <w:ind w:left="1440" w:hanging="360"/>
      </w:pPr>
      <w:r w:rsidRPr="00BF4E75">
        <w:t>Documentation of informed consent or waiver of documentation of consent was obtained in accordance with §4</w:t>
      </w:r>
      <w:bookmarkStart w:id="0" w:name="_GoBack"/>
      <w:bookmarkEnd w:id="0"/>
      <w:r w:rsidRPr="00BF4E75">
        <w:t>6.117;</w:t>
      </w:r>
    </w:p>
    <w:p w:rsidR="00BF4E75" w:rsidRPr="00BF4E75" w:rsidRDefault="00BF4E75" w:rsidP="00324808">
      <w:pPr>
        <w:pStyle w:val="ListParagraph"/>
        <w:numPr>
          <w:ilvl w:val="1"/>
          <w:numId w:val="2"/>
        </w:numPr>
        <w:ind w:left="1440" w:hanging="360"/>
      </w:pPr>
      <w:r w:rsidRPr="00BF4E75">
        <w:t>An IRB conducts a limited IRB review and makes the determination required by §46.111(a)(7) and makes the determination that the research to be conducted is within the scope of the broad consent referenced in paragraph (d)(8)(</w:t>
      </w:r>
      <w:proofErr w:type="spellStart"/>
      <w:r w:rsidRPr="00BF4E75">
        <w:t>i</w:t>
      </w:r>
      <w:proofErr w:type="spellEnd"/>
      <w:r w:rsidRPr="00BF4E75">
        <w:t>) of this section; and (iv) The investigator does not include returning individual research results to subjects as part of the study plan. This provision does not prevent an investigator from abiding by any legal requirements to return individual research results.</w:t>
      </w:r>
    </w:p>
    <w:p w:rsidR="00BF4E75" w:rsidRDefault="00BF4E75" w:rsidP="00324808">
      <w:pPr>
        <w:ind w:left="1440" w:hanging="360"/>
      </w:pPr>
    </w:p>
    <w:p w:rsidR="00BF4E75" w:rsidRDefault="00BF4E75"/>
    <w:sectPr w:rsidR="00BF4E75" w:rsidSect="00EF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E4682"/>
    <w:multiLevelType w:val="hybridMultilevel"/>
    <w:tmpl w:val="2840870A"/>
    <w:lvl w:ilvl="0" w:tplc="22C67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D1C91"/>
    <w:multiLevelType w:val="hybridMultilevel"/>
    <w:tmpl w:val="B0B484AE"/>
    <w:lvl w:ilvl="0" w:tplc="0409000F">
      <w:start w:val="1"/>
      <w:numFmt w:val="decimal"/>
      <w:lvlText w:val="%1."/>
      <w:lvlJc w:val="left"/>
      <w:pPr>
        <w:ind w:left="720" w:hanging="360"/>
      </w:pPr>
    </w:lvl>
    <w:lvl w:ilvl="1" w:tplc="0BFABCF8">
      <w:start w:val="1"/>
      <w:numFmt w:val="lowerRoman"/>
      <w:lvlText w:val="(%2)"/>
      <w:lvlJc w:val="left"/>
      <w:pPr>
        <w:ind w:left="1800" w:hanging="720"/>
      </w:pPr>
      <w:rPr>
        <w:rFonts w:hint="default"/>
      </w:rPr>
    </w:lvl>
    <w:lvl w:ilvl="2" w:tplc="9B8E250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75"/>
    <w:rsid w:val="000304FD"/>
    <w:rsid w:val="00056C48"/>
    <w:rsid w:val="000673EF"/>
    <w:rsid w:val="00073FF3"/>
    <w:rsid w:val="00081E7C"/>
    <w:rsid w:val="00081EF9"/>
    <w:rsid w:val="00093C63"/>
    <w:rsid w:val="00097D0E"/>
    <w:rsid w:val="000A022F"/>
    <w:rsid w:val="000A166E"/>
    <w:rsid w:val="000A6412"/>
    <w:rsid w:val="000A76AA"/>
    <w:rsid w:val="000B48DB"/>
    <w:rsid w:val="000B54D4"/>
    <w:rsid w:val="000C0F28"/>
    <w:rsid w:val="000C62E9"/>
    <w:rsid w:val="000C6AD8"/>
    <w:rsid w:val="000D2B51"/>
    <w:rsid w:val="000E47F5"/>
    <w:rsid w:val="000E5776"/>
    <w:rsid w:val="000F0105"/>
    <w:rsid w:val="001110E6"/>
    <w:rsid w:val="00112B87"/>
    <w:rsid w:val="00114C0A"/>
    <w:rsid w:val="00140FB2"/>
    <w:rsid w:val="00141E07"/>
    <w:rsid w:val="001421E5"/>
    <w:rsid w:val="00143FF1"/>
    <w:rsid w:val="001450EA"/>
    <w:rsid w:val="0014613C"/>
    <w:rsid w:val="00155D1E"/>
    <w:rsid w:val="0015623E"/>
    <w:rsid w:val="00160372"/>
    <w:rsid w:val="00165BBC"/>
    <w:rsid w:val="00173E35"/>
    <w:rsid w:val="001771D3"/>
    <w:rsid w:val="00183B51"/>
    <w:rsid w:val="0019211F"/>
    <w:rsid w:val="0019749E"/>
    <w:rsid w:val="001A47BD"/>
    <w:rsid w:val="001A745E"/>
    <w:rsid w:val="001B5C4B"/>
    <w:rsid w:val="001C19C8"/>
    <w:rsid w:val="001C654E"/>
    <w:rsid w:val="001D11A6"/>
    <w:rsid w:val="001D7BF3"/>
    <w:rsid w:val="001F097C"/>
    <w:rsid w:val="00210DF9"/>
    <w:rsid w:val="00224EDF"/>
    <w:rsid w:val="0022557F"/>
    <w:rsid w:val="00235D87"/>
    <w:rsid w:val="00244AD9"/>
    <w:rsid w:val="00250F77"/>
    <w:rsid w:val="002549A3"/>
    <w:rsid w:val="00262EEB"/>
    <w:rsid w:val="00262F78"/>
    <w:rsid w:val="00267003"/>
    <w:rsid w:val="00271F6E"/>
    <w:rsid w:val="002740CE"/>
    <w:rsid w:val="0028104D"/>
    <w:rsid w:val="00296A24"/>
    <w:rsid w:val="002A41DB"/>
    <w:rsid w:val="002B2DFF"/>
    <w:rsid w:val="002B3DF3"/>
    <w:rsid w:val="002B5BA0"/>
    <w:rsid w:val="002B6171"/>
    <w:rsid w:val="002B74B0"/>
    <w:rsid w:val="002C0DAB"/>
    <w:rsid w:val="002C3CB5"/>
    <w:rsid w:val="002E5B97"/>
    <w:rsid w:val="002E64C6"/>
    <w:rsid w:val="002E6D6B"/>
    <w:rsid w:val="002E7E03"/>
    <w:rsid w:val="002F0F3B"/>
    <w:rsid w:val="002F4956"/>
    <w:rsid w:val="002F4F58"/>
    <w:rsid w:val="0031128C"/>
    <w:rsid w:val="00312F63"/>
    <w:rsid w:val="00314351"/>
    <w:rsid w:val="003202A1"/>
    <w:rsid w:val="00324808"/>
    <w:rsid w:val="0036137A"/>
    <w:rsid w:val="00361855"/>
    <w:rsid w:val="00361B32"/>
    <w:rsid w:val="003701D0"/>
    <w:rsid w:val="003719F7"/>
    <w:rsid w:val="003778DE"/>
    <w:rsid w:val="0038070B"/>
    <w:rsid w:val="00380A5A"/>
    <w:rsid w:val="00381FF6"/>
    <w:rsid w:val="0039286B"/>
    <w:rsid w:val="0039601F"/>
    <w:rsid w:val="003A32B1"/>
    <w:rsid w:val="003B4973"/>
    <w:rsid w:val="003B6B9A"/>
    <w:rsid w:val="003B6D9B"/>
    <w:rsid w:val="003D0B1E"/>
    <w:rsid w:val="003D75A1"/>
    <w:rsid w:val="003E6D9F"/>
    <w:rsid w:val="003E7E77"/>
    <w:rsid w:val="003F000C"/>
    <w:rsid w:val="003F3368"/>
    <w:rsid w:val="003F33D2"/>
    <w:rsid w:val="003F627F"/>
    <w:rsid w:val="00413A7E"/>
    <w:rsid w:val="00417A22"/>
    <w:rsid w:val="0042726C"/>
    <w:rsid w:val="00434A03"/>
    <w:rsid w:val="00437403"/>
    <w:rsid w:val="00444095"/>
    <w:rsid w:val="004520EF"/>
    <w:rsid w:val="00483AF6"/>
    <w:rsid w:val="00491BF6"/>
    <w:rsid w:val="00493532"/>
    <w:rsid w:val="00494275"/>
    <w:rsid w:val="004A3114"/>
    <w:rsid w:val="004A465E"/>
    <w:rsid w:val="004B26A6"/>
    <w:rsid w:val="004B5EAA"/>
    <w:rsid w:val="004B7FD7"/>
    <w:rsid w:val="004C27C9"/>
    <w:rsid w:val="004E1BA1"/>
    <w:rsid w:val="0051081D"/>
    <w:rsid w:val="00512C8B"/>
    <w:rsid w:val="00522634"/>
    <w:rsid w:val="0052402F"/>
    <w:rsid w:val="005320D4"/>
    <w:rsid w:val="00533E2C"/>
    <w:rsid w:val="005420E3"/>
    <w:rsid w:val="00543738"/>
    <w:rsid w:val="005447F7"/>
    <w:rsid w:val="005500BB"/>
    <w:rsid w:val="00555E37"/>
    <w:rsid w:val="0057306F"/>
    <w:rsid w:val="0057362F"/>
    <w:rsid w:val="00582FB4"/>
    <w:rsid w:val="0058400C"/>
    <w:rsid w:val="00586C2E"/>
    <w:rsid w:val="005B53F4"/>
    <w:rsid w:val="005E23E1"/>
    <w:rsid w:val="005E2BD5"/>
    <w:rsid w:val="005E7725"/>
    <w:rsid w:val="005F0D4B"/>
    <w:rsid w:val="006064F6"/>
    <w:rsid w:val="006241CA"/>
    <w:rsid w:val="00636F3F"/>
    <w:rsid w:val="006519D5"/>
    <w:rsid w:val="006579F3"/>
    <w:rsid w:val="006728C1"/>
    <w:rsid w:val="00676453"/>
    <w:rsid w:val="006939A4"/>
    <w:rsid w:val="006961FC"/>
    <w:rsid w:val="006A5EEA"/>
    <w:rsid w:val="006B0468"/>
    <w:rsid w:val="006B3E16"/>
    <w:rsid w:val="006B40C8"/>
    <w:rsid w:val="006D5872"/>
    <w:rsid w:val="006E35EA"/>
    <w:rsid w:val="006F3E0E"/>
    <w:rsid w:val="00703EB9"/>
    <w:rsid w:val="00706FA7"/>
    <w:rsid w:val="00710177"/>
    <w:rsid w:val="00710E42"/>
    <w:rsid w:val="007167F8"/>
    <w:rsid w:val="007435C9"/>
    <w:rsid w:val="0075221E"/>
    <w:rsid w:val="0076233F"/>
    <w:rsid w:val="00762718"/>
    <w:rsid w:val="00765151"/>
    <w:rsid w:val="00770A68"/>
    <w:rsid w:val="007767B8"/>
    <w:rsid w:val="00783CF7"/>
    <w:rsid w:val="00790B19"/>
    <w:rsid w:val="00793D75"/>
    <w:rsid w:val="007A08F3"/>
    <w:rsid w:val="007B0E0E"/>
    <w:rsid w:val="007B717F"/>
    <w:rsid w:val="007C6619"/>
    <w:rsid w:val="007D3388"/>
    <w:rsid w:val="007D479A"/>
    <w:rsid w:val="007E6B42"/>
    <w:rsid w:val="007F091D"/>
    <w:rsid w:val="008059A6"/>
    <w:rsid w:val="00814BD7"/>
    <w:rsid w:val="008224EC"/>
    <w:rsid w:val="008226D8"/>
    <w:rsid w:val="00832FD3"/>
    <w:rsid w:val="00844C22"/>
    <w:rsid w:val="00844C37"/>
    <w:rsid w:val="00846410"/>
    <w:rsid w:val="00846C92"/>
    <w:rsid w:val="008634E9"/>
    <w:rsid w:val="00884538"/>
    <w:rsid w:val="0088599C"/>
    <w:rsid w:val="00891D73"/>
    <w:rsid w:val="00894F9A"/>
    <w:rsid w:val="008A1B40"/>
    <w:rsid w:val="008A418E"/>
    <w:rsid w:val="008A5840"/>
    <w:rsid w:val="008B29E0"/>
    <w:rsid w:val="008B5128"/>
    <w:rsid w:val="008C2B09"/>
    <w:rsid w:val="008C36C1"/>
    <w:rsid w:val="008E6F0C"/>
    <w:rsid w:val="008E7AD8"/>
    <w:rsid w:val="008F4A03"/>
    <w:rsid w:val="00902BD3"/>
    <w:rsid w:val="009058EC"/>
    <w:rsid w:val="00921F0B"/>
    <w:rsid w:val="00932735"/>
    <w:rsid w:val="00942643"/>
    <w:rsid w:val="0094461D"/>
    <w:rsid w:val="0095078E"/>
    <w:rsid w:val="00957627"/>
    <w:rsid w:val="00970974"/>
    <w:rsid w:val="00972BCC"/>
    <w:rsid w:val="009900A3"/>
    <w:rsid w:val="0099418C"/>
    <w:rsid w:val="009A0517"/>
    <w:rsid w:val="009A3639"/>
    <w:rsid w:val="009A4E4E"/>
    <w:rsid w:val="009A664C"/>
    <w:rsid w:val="009C1A87"/>
    <w:rsid w:val="009C4F12"/>
    <w:rsid w:val="009D0BE1"/>
    <w:rsid w:val="009D4A06"/>
    <w:rsid w:val="009D7F2A"/>
    <w:rsid w:val="009E431C"/>
    <w:rsid w:val="009E538A"/>
    <w:rsid w:val="009E54D5"/>
    <w:rsid w:val="009F6836"/>
    <w:rsid w:val="00A1729B"/>
    <w:rsid w:val="00A4121F"/>
    <w:rsid w:val="00A439BE"/>
    <w:rsid w:val="00A464DA"/>
    <w:rsid w:val="00A47379"/>
    <w:rsid w:val="00A51B67"/>
    <w:rsid w:val="00A643B6"/>
    <w:rsid w:val="00A6641A"/>
    <w:rsid w:val="00A763E2"/>
    <w:rsid w:val="00A81932"/>
    <w:rsid w:val="00A9124E"/>
    <w:rsid w:val="00AB1D0E"/>
    <w:rsid w:val="00AB431B"/>
    <w:rsid w:val="00AD1016"/>
    <w:rsid w:val="00AD6FD8"/>
    <w:rsid w:val="00AD737F"/>
    <w:rsid w:val="00AE2E5E"/>
    <w:rsid w:val="00B00652"/>
    <w:rsid w:val="00B11188"/>
    <w:rsid w:val="00B11F92"/>
    <w:rsid w:val="00B149A4"/>
    <w:rsid w:val="00B227BF"/>
    <w:rsid w:val="00B243DF"/>
    <w:rsid w:val="00B352D9"/>
    <w:rsid w:val="00B46985"/>
    <w:rsid w:val="00B472B8"/>
    <w:rsid w:val="00B47524"/>
    <w:rsid w:val="00B543F3"/>
    <w:rsid w:val="00B54919"/>
    <w:rsid w:val="00B75316"/>
    <w:rsid w:val="00BA531D"/>
    <w:rsid w:val="00BA7AEC"/>
    <w:rsid w:val="00BC1DB0"/>
    <w:rsid w:val="00BD77AF"/>
    <w:rsid w:val="00BE0D2F"/>
    <w:rsid w:val="00BE4372"/>
    <w:rsid w:val="00BE7C7B"/>
    <w:rsid w:val="00BF1307"/>
    <w:rsid w:val="00BF4E75"/>
    <w:rsid w:val="00BF7812"/>
    <w:rsid w:val="00C114D3"/>
    <w:rsid w:val="00C17262"/>
    <w:rsid w:val="00C179F3"/>
    <w:rsid w:val="00C31CF1"/>
    <w:rsid w:val="00C543C6"/>
    <w:rsid w:val="00C55529"/>
    <w:rsid w:val="00C62157"/>
    <w:rsid w:val="00C712AD"/>
    <w:rsid w:val="00C74DEF"/>
    <w:rsid w:val="00C8207F"/>
    <w:rsid w:val="00C86976"/>
    <w:rsid w:val="00C91606"/>
    <w:rsid w:val="00C965F7"/>
    <w:rsid w:val="00CB7C7E"/>
    <w:rsid w:val="00CC1153"/>
    <w:rsid w:val="00CC362D"/>
    <w:rsid w:val="00CC36AE"/>
    <w:rsid w:val="00CC7EB4"/>
    <w:rsid w:val="00CE49F2"/>
    <w:rsid w:val="00CE69DF"/>
    <w:rsid w:val="00D06B50"/>
    <w:rsid w:val="00D264B6"/>
    <w:rsid w:val="00D313B9"/>
    <w:rsid w:val="00D31403"/>
    <w:rsid w:val="00D41B9F"/>
    <w:rsid w:val="00D60169"/>
    <w:rsid w:val="00D82DE8"/>
    <w:rsid w:val="00D92AD5"/>
    <w:rsid w:val="00DA0226"/>
    <w:rsid w:val="00DA193E"/>
    <w:rsid w:val="00DA3422"/>
    <w:rsid w:val="00DA6ECA"/>
    <w:rsid w:val="00DB2429"/>
    <w:rsid w:val="00DB6C4E"/>
    <w:rsid w:val="00DE1435"/>
    <w:rsid w:val="00DF0B47"/>
    <w:rsid w:val="00DF38B1"/>
    <w:rsid w:val="00E1006D"/>
    <w:rsid w:val="00E2524E"/>
    <w:rsid w:val="00E3315E"/>
    <w:rsid w:val="00E3724A"/>
    <w:rsid w:val="00E40E7D"/>
    <w:rsid w:val="00E42BDF"/>
    <w:rsid w:val="00E42FBF"/>
    <w:rsid w:val="00E5730C"/>
    <w:rsid w:val="00E57BC1"/>
    <w:rsid w:val="00E672F8"/>
    <w:rsid w:val="00E70160"/>
    <w:rsid w:val="00E8147A"/>
    <w:rsid w:val="00EB5D3E"/>
    <w:rsid w:val="00ED31FB"/>
    <w:rsid w:val="00ED7CED"/>
    <w:rsid w:val="00EE4D21"/>
    <w:rsid w:val="00EE7D0C"/>
    <w:rsid w:val="00EF646A"/>
    <w:rsid w:val="00F026F9"/>
    <w:rsid w:val="00F06C85"/>
    <w:rsid w:val="00F25F7D"/>
    <w:rsid w:val="00F2692C"/>
    <w:rsid w:val="00F667FE"/>
    <w:rsid w:val="00F66A72"/>
    <w:rsid w:val="00F71244"/>
    <w:rsid w:val="00F7655E"/>
    <w:rsid w:val="00F862C0"/>
    <w:rsid w:val="00F86C06"/>
    <w:rsid w:val="00F92507"/>
    <w:rsid w:val="00F93080"/>
    <w:rsid w:val="00F9349E"/>
    <w:rsid w:val="00FA7FDE"/>
    <w:rsid w:val="00FC5A0E"/>
    <w:rsid w:val="00FD0F22"/>
    <w:rsid w:val="00FD1996"/>
    <w:rsid w:val="00FE189B"/>
    <w:rsid w:val="00FF2F97"/>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47C80"/>
  <w14:defaultImageDpi w14:val="32767"/>
  <w15:chartTrackingRefBased/>
  <w15:docId w15:val="{0B437189-2A78-024D-9C13-320E3436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Boehm</dc:creator>
  <cp:keywords/>
  <dc:description/>
  <cp:lastModifiedBy>Julia Boehm</cp:lastModifiedBy>
  <cp:revision>2</cp:revision>
  <dcterms:created xsi:type="dcterms:W3CDTF">2019-01-07T20:22:00Z</dcterms:created>
  <dcterms:modified xsi:type="dcterms:W3CDTF">2019-01-07T20:43:00Z</dcterms:modified>
</cp:coreProperties>
</file>