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A3B4" w14:textId="6B3D8F38" w:rsidR="006955C8" w:rsidRPr="00CC6A95" w:rsidRDefault="00AC5DE5" w:rsidP="00CC6A95">
      <w:pPr>
        <w:pStyle w:val="Title"/>
        <w:tabs>
          <w:tab w:val="left" w:pos="5490"/>
        </w:tabs>
        <w:spacing w:after="240"/>
        <w:jc w:val="center"/>
        <w:rPr>
          <w:rFonts w:asciiTheme="minorHAnsi" w:hAnsiTheme="minorHAnsi" w:cstheme="minorHAnsi"/>
          <w:sz w:val="48"/>
          <w:szCs w:val="48"/>
        </w:rPr>
      </w:pPr>
      <w:r w:rsidRPr="00CC6A95">
        <w:rPr>
          <w:rFonts w:asciiTheme="minorHAnsi" w:hAnsiTheme="minorHAnsi" w:cstheme="minorHAnsi"/>
          <w:sz w:val="48"/>
          <w:szCs w:val="48"/>
        </w:rPr>
        <w:t>Theatre and Entertainment Safety Alliance</w:t>
      </w:r>
    </w:p>
    <w:p w14:paraId="33AC38D4" w14:textId="77EC47B6" w:rsidR="00AC5DE5" w:rsidRPr="00CC6A95" w:rsidRDefault="00AC5DE5" w:rsidP="00AC5DE5">
      <w:pPr>
        <w:pStyle w:val="Subtitle"/>
        <w:spacing w:after="0"/>
        <w:jc w:val="center"/>
        <w:rPr>
          <w:rFonts w:cstheme="minorHAnsi"/>
          <w:sz w:val="36"/>
          <w:szCs w:val="36"/>
        </w:rPr>
      </w:pPr>
      <w:r w:rsidRPr="00CC6A95">
        <w:rPr>
          <w:rFonts w:cstheme="minorHAnsi"/>
          <w:sz w:val="36"/>
          <w:szCs w:val="36"/>
        </w:rPr>
        <w:t>A Subcommittee of the</w:t>
      </w:r>
    </w:p>
    <w:p w14:paraId="3E880422" w14:textId="091B3BA3" w:rsidR="00AC5DE5" w:rsidRPr="00CC6A95" w:rsidRDefault="00AC5DE5" w:rsidP="00AC5DE5">
      <w:pPr>
        <w:pStyle w:val="Subtitle"/>
        <w:spacing w:after="240"/>
        <w:jc w:val="center"/>
        <w:rPr>
          <w:rFonts w:cstheme="minorHAnsi"/>
          <w:sz w:val="36"/>
          <w:szCs w:val="36"/>
        </w:rPr>
      </w:pPr>
      <w:r w:rsidRPr="00CC6A95">
        <w:rPr>
          <w:rFonts w:cstheme="minorHAnsi"/>
          <w:sz w:val="36"/>
          <w:szCs w:val="36"/>
        </w:rPr>
        <w:t>Chapman University General Campus Safety Committee</w:t>
      </w:r>
    </w:p>
    <w:p w14:paraId="712971D5" w14:textId="63BED629" w:rsidR="00AC5DE5" w:rsidRPr="00FA53F2" w:rsidRDefault="00AC5DE5" w:rsidP="005F6093">
      <w:pPr>
        <w:pStyle w:val="Title"/>
        <w:spacing w:after="360"/>
        <w:jc w:val="center"/>
        <w:rPr>
          <w:rFonts w:asciiTheme="minorHAnsi" w:hAnsiTheme="minorHAnsi" w:cstheme="minorHAnsi"/>
          <w:b/>
          <w:bCs/>
          <w:sz w:val="48"/>
          <w:szCs w:val="48"/>
        </w:rPr>
      </w:pPr>
      <w:r w:rsidRPr="00FA53F2">
        <w:rPr>
          <w:rFonts w:asciiTheme="minorHAnsi" w:hAnsiTheme="minorHAnsi" w:cstheme="minorHAnsi"/>
          <w:b/>
          <w:bCs/>
          <w:sz w:val="48"/>
          <w:szCs w:val="48"/>
        </w:rPr>
        <w:t>Charter</w:t>
      </w:r>
    </w:p>
    <w:p w14:paraId="2B2ACBA5" w14:textId="6AB03AD7" w:rsidR="00AC5DE5" w:rsidRPr="00CC6A95" w:rsidRDefault="00AC5DE5" w:rsidP="005F6093">
      <w:pPr>
        <w:rPr>
          <w:rFonts w:cstheme="minorHAnsi"/>
        </w:rPr>
      </w:pPr>
      <w:r w:rsidRPr="00AC5DE5">
        <w:rPr>
          <w:rFonts w:cstheme="minorHAnsi"/>
        </w:rPr>
        <w:t>A subcommittee of the Chapman University General Campus Safety Committee, the Theatre and Entertainment Safety Alliance is committed to fostering a culture of safety by creating a set of standards that are attainable, consistent, meet the requirements of the Authority Having Jurisdiction, and, most importantly, ensure that crew, patrons, and performers return home safe and healthy every day. </w:t>
      </w:r>
    </w:p>
    <w:p w14:paraId="05CE46CA" w14:textId="557E7073" w:rsidR="00AC5DE5" w:rsidRPr="00CC6A95" w:rsidRDefault="00AC5DE5" w:rsidP="005F6093">
      <w:pPr>
        <w:rPr>
          <w:rFonts w:cstheme="minorHAnsi"/>
        </w:rPr>
      </w:pPr>
    </w:p>
    <w:p w14:paraId="2C41304C" w14:textId="77777777" w:rsidR="00AC5DE5" w:rsidRPr="00AC5DE5" w:rsidRDefault="00AC5DE5" w:rsidP="005F6093">
      <w:pPr>
        <w:spacing w:after="120"/>
        <w:rPr>
          <w:rFonts w:cstheme="minorHAnsi"/>
        </w:rPr>
      </w:pPr>
      <w:r w:rsidRPr="00AC5DE5">
        <w:rPr>
          <w:rFonts w:cstheme="minorHAnsi"/>
        </w:rPr>
        <w:t>Students, faculty, staff, and visitors are all key members of the Chapman University learning community, and each represent a key component of the mission of the University.  The University has established the health and safety of all members of this community as an all-important priority. </w:t>
      </w:r>
    </w:p>
    <w:p w14:paraId="5BE6AEF2" w14:textId="77777777" w:rsidR="00AC5DE5" w:rsidRPr="00AC5DE5" w:rsidRDefault="00AC5DE5" w:rsidP="005F6093">
      <w:pPr>
        <w:numPr>
          <w:ilvl w:val="0"/>
          <w:numId w:val="1"/>
        </w:numPr>
        <w:rPr>
          <w:rFonts w:cstheme="minorHAnsi"/>
          <w:i/>
          <w:iCs/>
        </w:rPr>
      </w:pPr>
      <w:r w:rsidRPr="00AC5DE5">
        <w:rPr>
          <w:rFonts w:cstheme="minorHAnsi"/>
          <w:i/>
          <w:iCs/>
        </w:rPr>
        <w:t>Chapman University recognizes its obligation for a fully integrated program of safety management into all aspects of its operations.</w:t>
      </w:r>
    </w:p>
    <w:p w14:paraId="3BD263DD" w14:textId="77777777" w:rsidR="00AC5DE5" w:rsidRPr="00AC5DE5" w:rsidRDefault="00AC5DE5" w:rsidP="005F6093">
      <w:pPr>
        <w:numPr>
          <w:ilvl w:val="0"/>
          <w:numId w:val="1"/>
        </w:numPr>
        <w:rPr>
          <w:rFonts w:cstheme="minorHAnsi"/>
          <w:i/>
          <w:iCs/>
        </w:rPr>
      </w:pPr>
      <w:r w:rsidRPr="00AC5DE5">
        <w:rPr>
          <w:rFonts w:cstheme="minorHAnsi"/>
          <w:i/>
          <w:iCs/>
        </w:rPr>
        <w:t>Chapman University will maintain safe working conditions and will promote an active and aggressive safety program.</w:t>
      </w:r>
    </w:p>
    <w:p w14:paraId="114DE8FC" w14:textId="77777777" w:rsidR="00AC5DE5" w:rsidRPr="00AC5DE5" w:rsidRDefault="00AC5DE5" w:rsidP="005F6093">
      <w:pPr>
        <w:numPr>
          <w:ilvl w:val="0"/>
          <w:numId w:val="1"/>
        </w:numPr>
        <w:rPr>
          <w:rFonts w:cstheme="minorHAnsi"/>
          <w:i/>
          <w:iCs/>
        </w:rPr>
      </w:pPr>
      <w:r w:rsidRPr="00AC5DE5">
        <w:rPr>
          <w:rFonts w:cstheme="minorHAnsi"/>
          <w:i/>
          <w:iCs/>
        </w:rPr>
        <w:t>The training of all employees is to include safety and it is policy to encourage every employee to make suggestions for further improvement.</w:t>
      </w:r>
    </w:p>
    <w:p w14:paraId="74EFBAE6" w14:textId="77777777" w:rsidR="00AC5DE5" w:rsidRPr="00AC5DE5" w:rsidRDefault="00AC5DE5" w:rsidP="005F6093">
      <w:pPr>
        <w:numPr>
          <w:ilvl w:val="0"/>
          <w:numId w:val="1"/>
        </w:numPr>
        <w:rPr>
          <w:rFonts w:cstheme="minorHAnsi"/>
          <w:i/>
          <w:iCs/>
        </w:rPr>
      </w:pPr>
      <w:r w:rsidRPr="00AC5DE5">
        <w:rPr>
          <w:rFonts w:cstheme="minorHAnsi"/>
          <w:i/>
          <w:iCs/>
        </w:rPr>
        <w:t>In turn, we expect everyone to observe established safety procedures and use the protective safety equipment provided. We also ask that all employees and students assist the university in this program by reporting any unsafe conditions, procedures, or practices.</w:t>
      </w:r>
    </w:p>
    <w:p w14:paraId="6EACC70A" w14:textId="3F600DF1" w:rsidR="00AC5DE5" w:rsidRPr="00CC6A95" w:rsidRDefault="00AC5DE5" w:rsidP="005F6093">
      <w:pPr>
        <w:numPr>
          <w:ilvl w:val="0"/>
          <w:numId w:val="1"/>
        </w:numPr>
        <w:rPr>
          <w:rFonts w:cstheme="minorHAnsi"/>
          <w:i/>
          <w:iCs/>
        </w:rPr>
      </w:pPr>
      <w:r w:rsidRPr="00AC5DE5">
        <w:rPr>
          <w:rFonts w:cstheme="minorHAnsi"/>
          <w:i/>
          <w:iCs/>
        </w:rPr>
        <w:t>It is our belief that no one knows more about the potential hazards in our operations than the people working or attending here day after day.  All of us have an obligation to cooperate in keeping our operations a safe place to work and attend.</w:t>
      </w:r>
    </w:p>
    <w:p w14:paraId="63039DBB" w14:textId="1CC6FE34" w:rsidR="00AC5DE5" w:rsidRPr="00CC6A95" w:rsidRDefault="00AC5DE5" w:rsidP="005F6093">
      <w:pPr>
        <w:rPr>
          <w:rFonts w:cstheme="minorHAnsi"/>
          <w:i/>
          <w:iCs/>
        </w:rPr>
      </w:pPr>
    </w:p>
    <w:p w14:paraId="1912E09E" w14:textId="6C2E9923" w:rsidR="00AC5DE5" w:rsidRDefault="00AC5DE5" w:rsidP="005F6093">
      <w:pPr>
        <w:rPr>
          <w:rFonts w:cstheme="minorHAnsi"/>
        </w:rPr>
      </w:pPr>
      <w:r w:rsidRPr="00AC5DE5">
        <w:rPr>
          <w:rFonts w:cstheme="minorHAnsi"/>
        </w:rPr>
        <w:t>The Theatre and Entertainment Safety Alliance reports to and advises the Chapman University General Campus Safety Committee. The Alliance consists of representation from</w:t>
      </w:r>
      <w:r w:rsidR="00603C8F">
        <w:rPr>
          <w:rFonts w:cstheme="minorHAnsi"/>
        </w:rPr>
        <w:t xml:space="preserve"> Chapman Auditorium/Theatre Operations,</w:t>
      </w:r>
      <w:r w:rsidRPr="00AC5DE5">
        <w:rPr>
          <w:rFonts w:cstheme="minorHAnsi"/>
        </w:rPr>
        <w:t xml:space="preserve"> College of Performing Arts, Dodge College of Film and Media Arts, </w:t>
      </w:r>
      <w:proofErr w:type="spellStart"/>
      <w:r w:rsidRPr="00AC5DE5">
        <w:rPr>
          <w:rFonts w:cstheme="minorHAnsi"/>
        </w:rPr>
        <w:t>Musco</w:t>
      </w:r>
      <w:proofErr w:type="spellEnd"/>
      <w:r w:rsidRPr="00AC5DE5">
        <w:rPr>
          <w:rFonts w:cstheme="minorHAnsi"/>
        </w:rPr>
        <w:t xml:space="preserve"> Center for the Arts, and Environmental Health and Safety (EH&amp;S). From time to time, the Alliance may consult with industry professionals, outside organizations, or other on-campus departments including, but not limited to, Facilities Management, Fire and Life Safety, and Public Safety.</w:t>
      </w:r>
    </w:p>
    <w:p w14:paraId="0EE7CA30" w14:textId="47505C4F" w:rsidR="00CC6A95" w:rsidRDefault="00CC6A95" w:rsidP="005F6093">
      <w:pPr>
        <w:rPr>
          <w:rFonts w:cstheme="minorHAnsi"/>
        </w:rPr>
      </w:pPr>
    </w:p>
    <w:p w14:paraId="70F2132B" w14:textId="77777777" w:rsidR="00603C8F" w:rsidRPr="00CC6A95" w:rsidRDefault="00603C8F" w:rsidP="005F6093">
      <w:pPr>
        <w:rPr>
          <w:rFonts w:cstheme="minorHAnsi"/>
        </w:rPr>
      </w:pPr>
    </w:p>
    <w:p w14:paraId="746F1A09" w14:textId="74137FFB" w:rsidR="00AC5DE5" w:rsidRPr="00FA53F2" w:rsidRDefault="00AC5DE5" w:rsidP="005F6093">
      <w:pPr>
        <w:pStyle w:val="Heading1"/>
        <w:spacing w:before="0" w:after="120"/>
        <w:rPr>
          <w:rFonts w:asciiTheme="minorHAnsi" w:hAnsiTheme="minorHAnsi" w:cstheme="minorHAnsi"/>
          <w:b/>
          <w:bCs/>
          <w:color w:val="1F3864" w:themeColor="accent1" w:themeShade="80"/>
          <w:sz w:val="36"/>
          <w:szCs w:val="36"/>
        </w:rPr>
      </w:pPr>
      <w:r w:rsidRPr="00FA53F2">
        <w:rPr>
          <w:rFonts w:asciiTheme="minorHAnsi" w:hAnsiTheme="minorHAnsi" w:cstheme="minorHAnsi"/>
          <w:b/>
          <w:bCs/>
          <w:color w:val="1F3864" w:themeColor="accent1" w:themeShade="80"/>
          <w:sz w:val="36"/>
          <w:szCs w:val="36"/>
        </w:rPr>
        <w:lastRenderedPageBreak/>
        <w:t>Purpose</w:t>
      </w:r>
    </w:p>
    <w:p w14:paraId="58B2DC63" w14:textId="5A2F0B4D" w:rsidR="00AC5DE5" w:rsidRPr="00AC5DE5" w:rsidRDefault="00AC5DE5" w:rsidP="005F6093">
      <w:pPr>
        <w:spacing w:after="120"/>
        <w:rPr>
          <w:rFonts w:cstheme="minorHAnsi"/>
        </w:rPr>
      </w:pPr>
      <w:r w:rsidRPr="00AC5DE5">
        <w:rPr>
          <w:rFonts w:cstheme="minorHAnsi"/>
        </w:rPr>
        <w:t xml:space="preserve">The Theatre and Entertainment Safety Alliance is structured to encourage respect, excellence, collaboration, integrity, and innovation in support of Chapman University’s safety culture. The responsibilities of the </w:t>
      </w:r>
      <w:r w:rsidR="00D55B0F">
        <w:rPr>
          <w:rFonts w:cstheme="minorHAnsi"/>
        </w:rPr>
        <w:t>Alliance</w:t>
      </w:r>
      <w:r w:rsidRPr="00AC5DE5">
        <w:rPr>
          <w:rFonts w:cstheme="minorHAnsi"/>
        </w:rPr>
        <w:t xml:space="preserve"> are to:</w:t>
      </w:r>
    </w:p>
    <w:p w14:paraId="40B067E3" w14:textId="77777777" w:rsidR="00AC5DE5" w:rsidRPr="00AC5DE5" w:rsidRDefault="00AC5DE5" w:rsidP="005F6093">
      <w:pPr>
        <w:numPr>
          <w:ilvl w:val="0"/>
          <w:numId w:val="2"/>
        </w:numPr>
        <w:rPr>
          <w:rFonts w:cstheme="minorHAnsi"/>
        </w:rPr>
      </w:pPr>
      <w:r w:rsidRPr="00AC5DE5">
        <w:rPr>
          <w:rFonts w:cstheme="minorHAnsi"/>
        </w:rPr>
        <w:t>Coordinate information from the member departments to provide consistent campus-wide strategies for health and safety activities, and target concerns for member department actions.</w:t>
      </w:r>
    </w:p>
    <w:p w14:paraId="4A8E54D8" w14:textId="77777777" w:rsidR="00AC5DE5" w:rsidRPr="00AC5DE5" w:rsidRDefault="00AC5DE5" w:rsidP="005F6093">
      <w:pPr>
        <w:numPr>
          <w:ilvl w:val="0"/>
          <w:numId w:val="2"/>
        </w:numPr>
        <w:rPr>
          <w:rFonts w:cstheme="minorHAnsi"/>
        </w:rPr>
      </w:pPr>
      <w:r w:rsidRPr="00AC5DE5">
        <w:rPr>
          <w:rFonts w:cstheme="minorHAnsi"/>
        </w:rPr>
        <w:t>Recommend health and safety strategies, policies, and programs to EH&amp;S and the Chapman University General Campus Safety Committee.</w:t>
      </w:r>
    </w:p>
    <w:p w14:paraId="5159B317" w14:textId="77777777" w:rsidR="00AC5DE5" w:rsidRPr="00AC5DE5" w:rsidRDefault="00AC5DE5" w:rsidP="005F6093">
      <w:pPr>
        <w:numPr>
          <w:ilvl w:val="0"/>
          <w:numId w:val="2"/>
        </w:numPr>
        <w:rPr>
          <w:rFonts w:cstheme="minorHAnsi"/>
        </w:rPr>
      </w:pPr>
      <w:r w:rsidRPr="00AC5DE5">
        <w:rPr>
          <w:rFonts w:cstheme="minorHAnsi"/>
        </w:rPr>
        <w:t>Serve as a contact for students, faculty, and staff to help respond to and address health and safety concerns.</w:t>
      </w:r>
    </w:p>
    <w:p w14:paraId="79386446" w14:textId="77777777" w:rsidR="00AC5DE5" w:rsidRPr="00AC5DE5" w:rsidRDefault="00AC5DE5" w:rsidP="005F6093">
      <w:pPr>
        <w:numPr>
          <w:ilvl w:val="0"/>
          <w:numId w:val="2"/>
        </w:numPr>
        <w:rPr>
          <w:rFonts w:cstheme="minorHAnsi"/>
        </w:rPr>
      </w:pPr>
      <w:r w:rsidRPr="00AC5DE5">
        <w:rPr>
          <w:rFonts w:cstheme="minorHAnsi"/>
        </w:rPr>
        <w:t>Help EH&amp;S in motivating the production-oriented arts communities on campus to create and maintain safe and healthful environments.</w:t>
      </w:r>
    </w:p>
    <w:p w14:paraId="2B21B380" w14:textId="02A29A16" w:rsidR="00AC5DE5" w:rsidRPr="00CC6A95" w:rsidRDefault="00AC5DE5" w:rsidP="005F6093">
      <w:pPr>
        <w:rPr>
          <w:rFonts w:cstheme="minorHAnsi"/>
        </w:rPr>
      </w:pPr>
    </w:p>
    <w:p w14:paraId="32FDF6CA" w14:textId="25528594" w:rsidR="00AC5DE5" w:rsidRPr="00CC6A95" w:rsidRDefault="00AC5DE5" w:rsidP="005F6093">
      <w:pPr>
        <w:rPr>
          <w:rFonts w:cstheme="minorHAnsi"/>
        </w:rPr>
      </w:pPr>
      <w:r w:rsidRPr="00AC5DE5">
        <w:rPr>
          <w:rFonts w:cstheme="minorHAnsi"/>
        </w:rPr>
        <w:t>To further support the mission and purpose of the Alliance, individual workgroups consisting of students, faculty, and staff from member departments may be appointed to discuss, research, and submit recommendations on health and safety initiatives and/or policies that affect the production-oriented arts on campus. Individual workgroups will submit their work to the Chair</w:t>
      </w:r>
      <w:r w:rsidR="00D07825">
        <w:rPr>
          <w:rFonts w:cstheme="minorHAnsi"/>
        </w:rPr>
        <w:t xml:space="preserve"> or Vice Chair</w:t>
      </w:r>
      <w:r w:rsidR="00B067B8" w:rsidRPr="00CC6A95">
        <w:rPr>
          <w:rFonts w:cstheme="minorHAnsi"/>
        </w:rPr>
        <w:t xml:space="preserve"> </w:t>
      </w:r>
      <w:r w:rsidRPr="00AC5DE5">
        <w:rPr>
          <w:rFonts w:cstheme="minorHAnsi"/>
        </w:rPr>
        <w:t>of this Alliance</w:t>
      </w:r>
      <w:r w:rsidR="00B067B8" w:rsidRPr="00CC6A95">
        <w:rPr>
          <w:rFonts w:cstheme="minorHAnsi"/>
        </w:rPr>
        <w:t>. At the next regularly scheduled Alliance meeting</w:t>
      </w:r>
      <w:r w:rsidRPr="00AC5DE5">
        <w:rPr>
          <w:rFonts w:cstheme="minorHAnsi"/>
        </w:rPr>
        <w:t xml:space="preserve"> a vote will be taken to accept, modify, or reject the work group’s proposal. </w:t>
      </w:r>
    </w:p>
    <w:p w14:paraId="5D49C983" w14:textId="11D65BF9" w:rsidR="00BE483C" w:rsidRDefault="00BE483C" w:rsidP="005F6093">
      <w:pPr>
        <w:rPr>
          <w:rFonts w:cstheme="minorHAnsi"/>
        </w:rPr>
      </w:pPr>
    </w:p>
    <w:p w14:paraId="679322F7" w14:textId="77777777" w:rsidR="00603C8F" w:rsidRPr="00CC6A95" w:rsidRDefault="00603C8F" w:rsidP="005F6093">
      <w:pPr>
        <w:rPr>
          <w:rFonts w:cstheme="minorHAnsi"/>
        </w:rPr>
      </w:pPr>
    </w:p>
    <w:p w14:paraId="77465037" w14:textId="45AB2635" w:rsidR="00BE483C" w:rsidRPr="00FA53F2" w:rsidRDefault="00BE483C" w:rsidP="005F6093">
      <w:pPr>
        <w:pStyle w:val="Heading1"/>
        <w:spacing w:before="0" w:after="120"/>
        <w:rPr>
          <w:rFonts w:asciiTheme="minorHAnsi" w:hAnsiTheme="minorHAnsi" w:cstheme="minorHAnsi"/>
          <w:b/>
          <w:bCs/>
          <w:color w:val="1F3864" w:themeColor="accent1" w:themeShade="80"/>
          <w:sz w:val="36"/>
          <w:szCs w:val="36"/>
        </w:rPr>
      </w:pPr>
      <w:r w:rsidRPr="00FA53F2">
        <w:rPr>
          <w:rFonts w:asciiTheme="minorHAnsi" w:hAnsiTheme="minorHAnsi" w:cstheme="minorHAnsi"/>
          <w:b/>
          <w:bCs/>
          <w:color w:val="1F3864" w:themeColor="accent1" w:themeShade="80"/>
          <w:sz w:val="36"/>
          <w:szCs w:val="36"/>
        </w:rPr>
        <w:t>Membership</w:t>
      </w:r>
      <w:r w:rsidR="00CC6A95" w:rsidRPr="00FA53F2">
        <w:rPr>
          <w:rFonts w:asciiTheme="minorHAnsi" w:hAnsiTheme="minorHAnsi" w:cstheme="minorHAnsi"/>
          <w:b/>
          <w:bCs/>
          <w:color w:val="1F3864" w:themeColor="accent1" w:themeShade="80"/>
          <w:sz w:val="36"/>
          <w:szCs w:val="36"/>
        </w:rPr>
        <w:t xml:space="preserve"> Roles and Responsibilities</w:t>
      </w:r>
    </w:p>
    <w:p w14:paraId="2A687D58" w14:textId="5377A5B5" w:rsidR="00BE483C" w:rsidRPr="00CC6A95" w:rsidRDefault="00BE483C" w:rsidP="005F6093">
      <w:pPr>
        <w:rPr>
          <w:rFonts w:cstheme="minorHAnsi"/>
        </w:rPr>
      </w:pPr>
      <w:r w:rsidRPr="00CC6A95">
        <w:rPr>
          <w:rFonts w:cstheme="minorHAnsi"/>
        </w:rPr>
        <w:t xml:space="preserve">The Theatre and Entertainment Safety Alliance is comprised of production and/or operations </w:t>
      </w:r>
      <w:r w:rsidR="00B067B8" w:rsidRPr="00CC6A95">
        <w:rPr>
          <w:rFonts w:cstheme="minorHAnsi"/>
        </w:rPr>
        <w:t>staff</w:t>
      </w:r>
      <w:r w:rsidRPr="00CC6A95">
        <w:rPr>
          <w:rFonts w:cstheme="minorHAnsi"/>
        </w:rPr>
        <w:t xml:space="preserve"> from </w:t>
      </w:r>
      <w:r w:rsidR="00B067B8" w:rsidRPr="00CC6A95">
        <w:rPr>
          <w:rFonts w:cstheme="minorHAnsi"/>
        </w:rPr>
        <w:t xml:space="preserve">the </w:t>
      </w:r>
      <w:r w:rsidR="00CC6A95" w:rsidRPr="00CC6A95">
        <w:rPr>
          <w:rFonts w:cstheme="minorHAnsi"/>
        </w:rPr>
        <w:t xml:space="preserve">four member departments, Environmental Health and Safety, and </w:t>
      </w:r>
      <w:r w:rsidR="00D07825">
        <w:rPr>
          <w:rFonts w:cstheme="minorHAnsi"/>
        </w:rPr>
        <w:t>E</w:t>
      </w:r>
      <w:r w:rsidR="00CC6A95" w:rsidRPr="00CC6A95">
        <w:rPr>
          <w:rFonts w:cstheme="minorHAnsi"/>
        </w:rPr>
        <w:t xml:space="preserve">x </w:t>
      </w:r>
      <w:r w:rsidR="00D07825">
        <w:rPr>
          <w:rFonts w:cstheme="minorHAnsi"/>
        </w:rPr>
        <w:t>O</w:t>
      </w:r>
      <w:r w:rsidR="00CC6A95" w:rsidRPr="00CC6A95">
        <w:rPr>
          <w:rFonts w:cstheme="minorHAnsi"/>
        </w:rPr>
        <w:t xml:space="preserve">fficio </w:t>
      </w:r>
      <w:r w:rsidR="00D07825">
        <w:rPr>
          <w:rFonts w:cstheme="minorHAnsi"/>
        </w:rPr>
        <w:t>P</w:t>
      </w:r>
      <w:r w:rsidR="00CC6A95" w:rsidRPr="00CC6A95">
        <w:rPr>
          <w:rFonts w:cstheme="minorHAnsi"/>
        </w:rPr>
        <w:t>artners</w:t>
      </w:r>
      <w:r w:rsidR="003E42CF">
        <w:rPr>
          <w:rFonts w:cstheme="minorHAnsi"/>
        </w:rPr>
        <w:t xml:space="preserve"> (Appendix 1)</w:t>
      </w:r>
      <w:r w:rsidR="00CC6A95" w:rsidRPr="00CC6A95">
        <w:rPr>
          <w:rFonts w:cstheme="minorHAnsi"/>
        </w:rPr>
        <w:t>.</w:t>
      </w:r>
      <w:r w:rsidR="00B067B8" w:rsidRPr="00CC6A95">
        <w:rPr>
          <w:rFonts w:cstheme="minorHAnsi"/>
        </w:rPr>
        <w:t xml:space="preserve"> </w:t>
      </w:r>
    </w:p>
    <w:p w14:paraId="42AC35FA" w14:textId="639F9D59" w:rsidR="00CC6A95" w:rsidRPr="00CC6A95" w:rsidRDefault="00CC6A95" w:rsidP="005F6093">
      <w:pPr>
        <w:rPr>
          <w:rFonts w:cstheme="minorHAnsi"/>
        </w:rPr>
      </w:pPr>
    </w:p>
    <w:p w14:paraId="7D643DE3" w14:textId="6DA87EA4" w:rsidR="00CC6A95" w:rsidRPr="00CC6A95" w:rsidRDefault="00CC6A95" w:rsidP="005F6093">
      <w:pPr>
        <w:pStyle w:val="Heading2"/>
        <w:spacing w:before="0" w:after="60"/>
        <w:rPr>
          <w:rFonts w:asciiTheme="minorHAnsi" w:hAnsiTheme="minorHAnsi" w:cstheme="minorHAnsi"/>
          <w:sz w:val="30"/>
          <w:szCs w:val="30"/>
        </w:rPr>
      </w:pPr>
      <w:r w:rsidRPr="00CC6A95">
        <w:rPr>
          <w:rFonts w:asciiTheme="minorHAnsi" w:hAnsiTheme="minorHAnsi" w:cstheme="minorHAnsi"/>
          <w:sz w:val="30"/>
          <w:szCs w:val="30"/>
        </w:rPr>
        <w:t>Chair</w:t>
      </w:r>
    </w:p>
    <w:p w14:paraId="740F4313" w14:textId="1AA474DE" w:rsidR="00CC6A95" w:rsidRPr="00CC6A95" w:rsidRDefault="00CC6A95" w:rsidP="005F6093">
      <w:pPr>
        <w:rPr>
          <w:rFonts w:cstheme="minorHAnsi"/>
        </w:rPr>
      </w:pPr>
      <w:r w:rsidRPr="004C60F1">
        <w:rPr>
          <w:rFonts w:cstheme="minorHAnsi"/>
        </w:rPr>
        <w:t xml:space="preserve">At the April meeting before each new term, a new Chair will be </w:t>
      </w:r>
      <w:r w:rsidR="009320CF">
        <w:rPr>
          <w:rFonts w:cstheme="minorHAnsi"/>
        </w:rPr>
        <w:t>elected</w:t>
      </w:r>
      <w:r w:rsidRPr="004C60F1">
        <w:rPr>
          <w:rFonts w:cstheme="minorHAnsi"/>
        </w:rPr>
        <w:t xml:space="preserve"> by the</w:t>
      </w:r>
      <w:r w:rsidR="00E900FE">
        <w:rPr>
          <w:rFonts w:cstheme="minorHAnsi"/>
        </w:rPr>
        <w:t xml:space="preserve"> Department Representative</w:t>
      </w:r>
      <w:r w:rsidR="00D07825">
        <w:rPr>
          <w:rFonts w:cstheme="minorHAnsi"/>
        </w:rPr>
        <w:t>s</w:t>
      </w:r>
      <w:r w:rsidR="00E900FE">
        <w:rPr>
          <w:rFonts w:cstheme="minorHAnsi"/>
        </w:rPr>
        <w:t xml:space="preserve"> of the</w:t>
      </w:r>
      <w:r w:rsidRPr="004C60F1">
        <w:rPr>
          <w:rFonts w:cstheme="minorHAnsi"/>
        </w:rPr>
        <w:t xml:space="preserve"> Alliance. The Chair is responsible for conducting the meeting and ensuring order by following the established agenda. The Chair will correspond with the</w:t>
      </w:r>
      <w:r w:rsidRPr="00CC6A95">
        <w:rPr>
          <w:rFonts w:cstheme="minorHAnsi"/>
        </w:rPr>
        <w:t xml:space="preserve"> Vice Chair</w:t>
      </w:r>
      <w:r w:rsidRPr="004C60F1">
        <w:rPr>
          <w:rFonts w:cstheme="minorHAnsi"/>
        </w:rPr>
        <w:t xml:space="preserve"> prior to each quarterly meeting to set the agenda and plan upcoming meetings, presentations, and any meetings held at alternative locations.</w:t>
      </w:r>
    </w:p>
    <w:p w14:paraId="369AE93B" w14:textId="6FF244CB" w:rsidR="00CC6A95" w:rsidRPr="00CC6A95" w:rsidRDefault="00CC6A95" w:rsidP="005F6093">
      <w:pPr>
        <w:rPr>
          <w:rFonts w:cstheme="minorHAnsi"/>
        </w:rPr>
      </w:pPr>
    </w:p>
    <w:p w14:paraId="34F694DC" w14:textId="78A6F426" w:rsidR="00CC6A95" w:rsidRPr="00CC6A95" w:rsidRDefault="00CC6A95" w:rsidP="005F6093">
      <w:pPr>
        <w:pStyle w:val="Heading2"/>
        <w:spacing w:before="0" w:after="60"/>
        <w:rPr>
          <w:rFonts w:asciiTheme="minorHAnsi" w:hAnsiTheme="minorHAnsi" w:cstheme="minorHAnsi"/>
          <w:sz w:val="30"/>
          <w:szCs w:val="30"/>
        </w:rPr>
      </w:pPr>
      <w:r w:rsidRPr="00CC6A95">
        <w:rPr>
          <w:rFonts w:asciiTheme="minorHAnsi" w:hAnsiTheme="minorHAnsi" w:cstheme="minorHAnsi"/>
          <w:sz w:val="30"/>
          <w:szCs w:val="30"/>
        </w:rPr>
        <w:t>Vice Chair</w:t>
      </w:r>
    </w:p>
    <w:p w14:paraId="3C461349" w14:textId="22D98208" w:rsidR="00CC6A95" w:rsidRDefault="00CC6A95" w:rsidP="005F6093">
      <w:pPr>
        <w:spacing w:after="120"/>
        <w:rPr>
          <w:rFonts w:cstheme="minorHAnsi"/>
        </w:rPr>
      </w:pPr>
      <w:r w:rsidRPr="00CC6A95">
        <w:rPr>
          <w:rFonts w:cstheme="minorHAnsi"/>
        </w:rPr>
        <w:t>The Vice Chair position is held by the designated EH&amp;S Representative. They are responsible for:</w:t>
      </w:r>
    </w:p>
    <w:p w14:paraId="11180A0F" w14:textId="31B62CA9" w:rsidR="00C97F43" w:rsidRPr="00C97F43" w:rsidRDefault="00C97F43" w:rsidP="005F6093">
      <w:pPr>
        <w:numPr>
          <w:ilvl w:val="0"/>
          <w:numId w:val="3"/>
        </w:numPr>
        <w:textAlignment w:val="baseline"/>
        <w:rPr>
          <w:rFonts w:eastAsia="Times New Roman" w:cs="Futura Medium"/>
          <w:color w:val="000000"/>
        </w:rPr>
      </w:pPr>
      <w:r w:rsidRPr="00C97F43">
        <w:rPr>
          <w:rFonts w:eastAsia="Times New Roman" w:cs="Futura Medium"/>
          <w:color w:val="000000"/>
        </w:rPr>
        <w:t>Ensuring a room is reserved for the meeting.</w:t>
      </w:r>
    </w:p>
    <w:p w14:paraId="39E63564" w14:textId="0D5BAD67" w:rsidR="00C97F43" w:rsidRPr="00C97F43" w:rsidRDefault="00C97F43" w:rsidP="005F6093">
      <w:pPr>
        <w:numPr>
          <w:ilvl w:val="0"/>
          <w:numId w:val="3"/>
        </w:numPr>
        <w:textAlignment w:val="baseline"/>
        <w:rPr>
          <w:rFonts w:eastAsia="Times New Roman" w:cs="Futura Medium"/>
          <w:color w:val="000000"/>
        </w:rPr>
      </w:pPr>
      <w:r w:rsidRPr="00C97F43">
        <w:rPr>
          <w:rFonts w:eastAsia="Times New Roman" w:cs="Futura Medium"/>
          <w:color w:val="000000"/>
        </w:rPr>
        <w:t xml:space="preserve">Preparatory correspondence with the Chair prior to each Alliance meeting to </w:t>
      </w:r>
      <w:r>
        <w:rPr>
          <w:rFonts w:eastAsia="Times New Roman" w:cs="Futura Medium"/>
          <w:color w:val="000000"/>
        </w:rPr>
        <w:t>set</w:t>
      </w:r>
      <w:r w:rsidRPr="00C97F43">
        <w:rPr>
          <w:rFonts w:eastAsia="Times New Roman" w:cs="Futura Medium"/>
          <w:color w:val="000000"/>
        </w:rPr>
        <w:t xml:space="preserve"> the agenda.</w:t>
      </w:r>
    </w:p>
    <w:p w14:paraId="0D334E85" w14:textId="2E5E1E82" w:rsidR="00C97F43" w:rsidRPr="00C97F43" w:rsidRDefault="00C97F43" w:rsidP="005F6093">
      <w:pPr>
        <w:numPr>
          <w:ilvl w:val="0"/>
          <w:numId w:val="3"/>
        </w:numPr>
        <w:textAlignment w:val="baseline"/>
        <w:rPr>
          <w:rFonts w:eastAsia="Times New Roman" w:cs="Futura Medium"/>
          <w:color w:val="000000"/>
        </w:rPr>
      </w:pPr>
      <w:r w:rsidRPr="00C97F43">
        <w:rPr>
          <w:rFonts w:eastAsia="Times New Roman" w:cs="Futura Medium"/>
          <w:color w:val="000000"/>
        </w:rPr>
        <w:t xml:space="preserve">Assist </w:t>
      </w:r>
      <w:r w:rsidR="00D07825">
        <w:rPr>
          <w:rFonts w:eastAsia="Times New Roman" w:cs="Futura Medium"/>
          <w:color w:val="000000"/>
        </w:rPr>
        <w:t xml:space="preserve">with </w:t>
      </w:r>
      <w:r w:rsidRPr="00C97F43">
        <w:rPr>
          <w:rFonts w:eastAsia="Times New Roman" w:cs="Futura Medium"/>
          <w:color w:val="000000"/>
        </w:rPr>
        <w:t>scheduling and coordina</w:t>
      </w:r>
      <w:r w:rsidR="00D07825">
        <w:rPr>
          <w:rFonts w:eastAsia="Times New Roman" w:cs="Futura Medium"/>
          <w:color w:val="000000"/>
        </w:rPr>
        <w:t xml:space="preserve">ting </w:t>
      </w:r>
      <w:r w:rsidRPr="00C97F43">
        <w:rPr>
          <w:rFonts w:eastAsia="Times New Roman" w:cs="Futura Medium"/>
          <w:color w:val="000000"/>
        </w:rPr>
        <w:t>presenters and meetings held at a different location.</w:t>
      </w:r>
    </w:p>
    <w:p w14:paraId="0457F34D" w14:textId="31C1A1FC" w:rsidR="00C97F43" w:rsidRPr="00C97F43" w:rsidRDefault="00C97F43" w:rsidP="005F6093">
      <w:pPr>
        <w:numPr>
          <w:ilvl w:val="0"/>
          <w:numId w:val="3"/>
        </w:numPr>
        <w:textAlignment w:val="baseline"/>
        <w:rPr>
          <w:rFonts w:eastAsia="Times New Roman" w:cs="Futura Medium"/>
          <w:color w:val="000000"/>
        </w:rPr>
      </w:pPr>
      <w:r w:rsidRPr="00C97F43">
        <w:rPr>
          <w:rFonts w:eastAsia="Times New Roman" w:cs="Futura Medium"/>
          <w:color w:val="000000"/>
        </w:rPr>
        <w:t xml:space="preserve">Taking meeting minutes during each Alliance meeting and emailing minutes to the Alliance. </w:t>
      </w:r>
    </w:p>
    <w:p w14:paraId="3D1D802E" w14:textId="77777777" w:rsidR="00C97F43" w:rsidRPr="00C97F43" w:rsidRDefault="00C97F43" w:rsidP="005F6093">
      <w:pPr>
        <w:numPr>
          <w:ilvl w:val="0"/>
          <w:numId w:val="3"/>
        </w:numPr>
        <w:textAlignment w:val="baseline"/>
        <w:rPr>
          <w:rFonts w:eastAsia="Times New Roman" w:cs="Futura Medium"/>
          <w:color w:val="000000"/>
        </w:rPr>
      </w:pPr>
      <w:r w:rsidRPr="00C97F43">
        <w:rPr>
          <w:rFonts w:eastAsia="Times New Roman" w:cs="Futura Medium"/>
          <w:color w:val="000000"/>
        </w:rPr>
        <w:t>Ensuring that the Alliance membership is kept up-to-date and vacancies are filled as needed.</w:t>
      </w:r>
    </w:p>
    <w:p w14:paraId="4D3DE06C" w14:textId="6C7000C2" w:rsidR="00CC6A95" w:rsidRDefault="00C97F43" w:rsidP="005F6093">
      <w:pPr>
        <w:numPr>
          <w:ilvl w:val="0"/>
          <w:numId w:val="3"/>
        </w:numPr>
        <w:textAlignment w:val="baseline"/>
        <w:rPr>
          <w:rFonts w:eastAsia="Times New Roman" w:cs="Futura Medium"/>
          <w:color w:val="000000"/>
        </w:rPr>
      </w:pPr>
      <w:r w:rsidRPr="00C97F43">
        <w:rPr>
          <w:rFonts w:eastAsia="Times New Roman" w:cs="Futura Medium"/>
          <w:color w:val="000000"/>
        </w:rPr>
        <w:lastRenderedPageBreak/>
        <w:t>Maintaining the original charter document and updating the document when requested by the Alliance. </w:t>
      </w:r>
    </w:p>
    <w:p w14:paraId="1FDA05DE" w14:textId="0A1FE500" w:rsidR="00D07825" w:rsidRDefault="00D07825" w:rsidP="005F6093">
      <w:pPr>
        <w:textAlignment w:val="baseline"/>
        <w:rPr>
          <w:rFonts w:eastAsia="Times New Roman" w:cs="Futura Medium"/>
          <w:color w:val="000000"/>
        </w:rPr>
      </w:pPr>
    </w:p>
    <w:p w14:paraId="04A0F231" w14:textId="212C2AC9" w:rsidR="00D07825" w:rsidRDefault="00D07825" w:rsidP="005F6093">
      <w:pPr>
        <w:textAlignment w:val="baseline"/>
        <w:rPr>
          <w:rFonts w:eastAsia="Times New Roman" w:cs="Futura Medium"/>
          <w:color w:val="000000"/>
        </w:rPr>
      </w:pPr>
      <w:r w:rsidRPr="00C97F43">
        <w:rPr>
          <w:rFonts w:eastAsia="Times New Roman" w:cs="Futura Medium"/>
          <w:color w:val="000000"/>
        </w:rPr>
        <w:t xml:space="preserve">If the EH&amp;S representative is unable </w:t>
      </w:r>
      <w:r w:rsidR="00D55B0F">
        <w:rPr>
          <w:rFonts w:eastAsia="Times New Roman" w:cs="Futura Medium"/>
          <w:color w:val="000000"/>
        </w:rPr>
        <w:t>fulfil any of their responsibilities</w:t>
      </w:r>
      <w:r w:rsidRPr="00C97F43">
        <w:rPr>
          <w:rFonts w:eastAsia="Times New Roman" w:cs="Futura Medium"/>
          <w:color w:val="000000"/>
        </w:rPr>
        <w:t xml:space="preserve">, the Chair will </w:t>
      </w:r>
      <w:r w:rsidR="00D55B0F">
        <w:rPr>
          <w:rFonts w:eastAsia="Times New Roman" w:cs="Futura Medium"/>
          <w:color w:val="000000"/>
        </w:rPr>
        <w:t xml:space="preserve">assume the necessary responsibilities. </w:t>
      </w:r>
    </w:p>
    <w:p w14:paraId="79414157" w14:textId="5774B0EC" w:rsidR="00C97F43" w:rsidRDefault="00C97F43" w:rsidP="005F6093">
      <w:pPr>
        <w:textAlignment w:val="baseline"/>
        <w:rPr>
          <w:rFonts w:eastAsia="Times New Roman" w:cs="Futura Medium"/>
          <w:color w:val="000000"/>
        </w:rPr>
      </w:pPr>
    </w:p>
    <w:p w14:paraId="29BB5DC0" w14:textId="089E76E2" w:rsidR="00C97F43" w:rsidRDefault="00C97F43" w:rsidP="005F6093">
      <w:pPr>
        <w:pStyle w:val="Heading2"/>
        <w:spacing w:before="0" w:after="60"/>
        <w:rPr>
          <w:rFonts w:asciiTheme="minorHAnsi" w:hAnsiTheme="minorHAnsi" w:cstheme="minorHAnsi"/>
          <w:sz w:val="30"/>
          <w:szCs w:val="30"/>
        </w:rPr>
      </w:pPr>
      <w:r>
        <w:rPr>
          <w:rFonts w:asciiTheme="minorHAnsi" w:hAnsiTheme="minorHAnsi" w:cstheme="minorHAnsi"/>
          <w:sz w:val="30"/>
          <w:szCs w:val="30"/>
        </w:rPr>
        <w:t>Department</w:t>
      </w:r>
      <w:r w:rsidR="00BF70B6">
        <w:rPr>
          <w:rFonts w:asciiTheme="minorHAnsi" w:hAnsiTheme="minorHAnsi" w:cstheme="minorHAnsi"/>
          <w:sz w:val="30"/>
          <w:szCs w:val="30"/>
        </w:rPr>
        <w:t xml:space="preserve"> and EH&amp;S </w:t>
      </w:r>
      <w:r>
        <w:rPr>
          <w:rFonts w:asciiTheme="minorHAnsi" w:hAnsiTheme="minorHAnsi" w:cstheme="minorHAnsi"/>
          <w:sz w:val="30"/>
          <w:szCs w:val="30"/>
        </w:rPr>
        <w:t>Representatives</w:t>
      </w:r>
    </w:p>
    <w:p w14:paraId="2BAC2DDB" w14:textId="6BD3D8D8" w:rsidR="00C97F43" w:rsidRDefault="00A66962" w:rsidP="005F6093">
      <w:r>
        <w:t>Each member department is represented by two Department Representatives</w:t>
      </w:r>
      <w:r w:rsidR="00FC592B">
        <w:t xml:space="preserve"> </w:t>
      </w:r>
      <w:r>
        <w:t xml:space="preserve">on the Alliance; EH&amp;S is represented by one </w:t>
      </w:r>
      <w:r w:rsidR="00D55B0F">
        <w:t>EH&amp;S</w:t>
      </w:r>
      <w:r>
        <w:t xml:space="preserve"> Representative (Vice Chair). </w:t>
      </w:r>
      <w:r w:rsidR="00C97F43">
        <w:t xml:space="preserve">Department Representatives serve a staggered two-year term beginning at election or appointment during the July meeting, and ending at the July meeting two years later. </w:t>
      </w:r>
      <w:r w:rsidR="00D42FC8">
        <w:t xml:space="preserve">Department and EH&amp;S </w:t>
      </w:r>
      <w:r w:rsidR="00C97F43">
        <w:t xml:space="preserve">Representatives are responsible for </w:t>
      </w:r>
      <w:r w:rsidR="00D55B0F">
        <w:t>attending</w:t>
      </w:r>
      <w:r>
        <w:t xml:space="preserve"> Alliance meetings when possible, and notifying the Chair or Vice Chair if they will be unable to attend. </w:t>
      </w:r>
    </w:p>
    <w:p w14:paraId="51F08FE5" w14:textId="14CD31E4" w:rsidR="00A66962" w:rsidRDefault="00A66962" w:rsidP="005F6093"/>
    <w:p w14:paraId="5C7E7D27" w14:textId="06FB9EAC" w:rsidR="00A66962" w:rsidRDefault="00A66962" w:rsidP="005F6093">
      <w:r w:rsidRPr="00A66962">
        <w:t xml:space="preserve">For member departments, the attendance responsibility can be met by ensuring that at least one of two </w:t>
      </w:r>
      <w:r w:rsidR="00BF70B6">
        <w:t xml:space="preserve">Department </w:t>
      </w:r>
      <w:r>
        <w:t>Representatives</w:t>
      </w:r>
      <w:r w:rsidRPr="00A66962">
        <w:t xml:space="preserve"> will be in attendance</w:t>
      </w:r>
      <w:r w:rsidR="00731F83">
        <w:t xml:space="preserve"> at each Alliance Meeting</w:t>
      </w:r>
      <w:r w:rsidRPr="00A66962">
        <w:t xml:space="preserve">. In the case that both </w:t>
      </w:r>
      <w:r>
        <w:t>R</w:t>
      </w:r>
      <w:r w:rsidRPr="00A66962">
        <w:t xml:space="preserve">epresentatives of a member department are unable to attend, the </w:t>
      </w:r>
      <w:r w:rsidR="00BF70B6">
        <w:t xml:space="preserve">Department </w:t>
      </w:r>
      <w:r>
        <w:t>R</w:t>
      </w:r>
      <w:r w:rsidRPr="00A66962">
        <w:t xml:space="preserve">epresentatives should identify another member from their department that can attend as a proxy. If both </w:t>
      </w:r>
      <w:r w:rsidR="00ED0160">
        <w:t>R</w:t>
      </w:r>
      <w:r w:rsidRPr="00A66962">
        <w:t xml:space="preserve">epresentatives of a member department are absent from two consecutive Alliance meetings, the respective department must select two new </w:t>
      </w:r>
      <w:r w:rsidR="00BF70B6">
        <w:t xml:space="preserve">Department </w:t>
      </w:r>
      <w:r w:rsidR="00ED0160">
        <w:t xml:space="preserve">Representatives </w:t>
      </w:r>
      <w:r w:rsidRPr="00A66962">
        <w:t>that can reliably attend the Alliance meetings on a consistent basis</w:t>
      </w:r>
      <w:r w:rsidR="00ED0160">
        <w:t xml:space="preserve">. This requirement does not apply to Chapman Auditorium/Theatre Operations. </w:t>
      </w:r>
    </w:p>
    <w:p w14:paraId="14BAF4A5" w14:textId="63482A84" w:rsidR="00ED0160" w:rsidRDefault="00ED0160" w:rsidP="005F6093"/>
    <w:p w14:paraId="6293FC38" w14:textId="1A9DEF4A" w:rsidR="00ED0160" w:rsidRDefault="00ED0160" w:rsidP="005F6093">
      <w:r>
        <w:t>Department Representatives are responsible for reporting out at each Alliance meeting. Reports can include:</w:t>
      </w:r>
    </w:p>
    <w:p w14:paraId="7CD908D2" w14:textId="77777777" w:rsidR="00ED0160" w:rsidRPr="00ED0160" w:rsidRDefault="00ED0160" w:rsidP="005F6093">
      <w:pPr>
        <w:numPr>
          <w:ilvl w:val="0"/>
          <w:numId w:val="4"/>
        </w:numPr>
      </w:pPr>
      <w:r w:rsidRPr="00ED0160">
        <w:t>An overview of actions, decisions, or topics discussed at their most recent organizational department meeting.</w:t>
      </w:r>
    </w:p>
    <w:p w14:paraId="2D3467C3" w14:textId="77777777" w:rsidR="00ED0160" w:rsidRPr="00ED0160" w:rsidRDefault="00ED0160" w:rsidP="005F6093">
      <w:pPr>
        <w:numPr>
          <w:ilvl w:val="0"/>
          <w:numId w:val="4"/>
        </w:numPr>
      </w:pPr>
      <w:r w:rsidRPr="00ED0160">
        <w:t>An overview of health and safety concerns discussed within their organizational department meeting.</w:t>
      </w:r>
    </w:p>
    <w:p w14:paraId="782E54CB" w14:textId="37DDAA75" w:rsidR="00C97F43" w:rsidRDefault="00ED0160" w:rsidP="005F6093">
      <w:pPr>
        <w:numPr>
          <w:ilvl w:val="0"/>
          <w:numId w:val="4"/>
        </w:numPr>
      </w:pPr>
      <w:r w:rsidRPr="00ED0160">
        <w:t>Brief updates on new health and safety initiatives occurring within the represented organizational department.</w:t>
      </w:r>
    </w:p>
    <w:p w14:paraId="4DE10BC4" w14:textId="4D8D400F" w:rsidR="00ED0160" w:rsidRDefault="00ED0160" w:rsidP="005F6093"/>
    <w:p w14:paraId="63D1B465" w14:textId="52AC55C4" w:rsidR="00ED0160" w:rsidRDefault="00ED0160" w:rsidP="005F6093">
      <w:pPr>
        <w:pStyle w:val="Heading2"/>
        <w:spacing w:before="0" w:after="60"/>
        <w:rPr>
          <w:rFonts w:asciiTheme="minorHAnsi" w:hAnsiTheme="minorHAnsi" w:cstheme="minorHAnsi"/>
          <w:sz w:val="30"/>
          <w:szCs w:val="30"/>
        </w:rPr>
      </w:pPr>
      <w:r>
        <w:rPr>
          <w:rFonts w:asciiTheme="minorHAnsi" w:hAnsiTheme="minorHAnsi" w:cstheme="minorHAnsi"/>
          <w:sz w:val="30"/>
          <w:szCs w:val="30"/>
        </w:rPr>
        <w:t>Members</w:t>
      </w:r>
    </w:p>
    <w:p w14:paraId="386331A5" w14:textId="2CD9439E" w:rsidR="00ED0160" w:rsidRDefault="00ED0160" w:rsidP="005F6093">
      <w:r>
        <w:t>Members are production and operations staff from the</w:t>
      </w:r>
      <w:r w:rsidR="00FA53F2">
        <w:t xml:space="preserve"> four</w:t>
      </w:r>
      <w:r>
        <w:t xml:space="preserve"> member departments</w:t>
      </w:r>
      <w:r w:rsidR="00FA53F2">
        <w:t xml:space="preserve"> and EH&amp;S</w:t>
      </w:r>
      <w:r>
        <w:t xml:space="preserve"> who have an interest in the work of the Alliance. Members are </w:t>
      </w:r>
      <w:r w:rsidR="00FA53F2">
        <w:t xml:space="preserve">encouraged to attend the July meeting of each new term to receive updates and </w:t>
      </w:r>
      <w:r w:rsidR="00BF70B6">
        <w:t xml:space="preserve">to </w:t>
      </w:r>
      <w:r w:rsidR="00FA53F2">
        <w:t>nominate and elect Department Representatives to the new term.</w:t>
      </w:r>
    </w:p>
    <w:p w14:paraId="1BB76A12" w14:textId="666D05AF" w:rsidR="00ED0160" w:rsidRDefault="00ED0160" w:rsidP="005F6093"/>
    <w:p w14:paraId="6C8978B7" w14:textId="1F5C6191" w:rsidR="00ED0160" w:rsidRDefault="00ED0160" w:rsidP="005F6093">
      <w:pPr>
        <w:pStyle w:val="Heading2"/>
        <w:spacing w:before="0" w:after="60"/>
        <w:rPr>
          <w:rFonts w:asciiTheme="minorHAnsi" w:hAnsiTheme="minorHAnsi" w:cstheme="minorHAnsi"/>
          <w:sz w:val="30"/>
          <w:szCs w:val="30"/>
        </w:rPr>
      </w:pPr>
      <w:r>
        <w:rPr>
          <w:rFonts w:asciiTheme="minorHAnsi" w:hAnsiTheme="minorHAnsi" w:cstheme="minorHAnsi"/>
          <w:sz w:val="30"/>
          <w:szCs w:val="30"/>
        </w:rPr>
        <w:t>Ex Officio Partners</w:t>
      </w:r>
    </w:p>
    <w:p w14:paraId="4EA60774" w14:textId="3932D2B3" w:rsidR="00FA53F2" w:rsidRPr="00FA53F2" w:rsidRDefault="00FA53F2" w:rsidP="005F6093">
      <w:r w:rsidRPr="00FA53F2">
        <w:t xml:space="preserve">Ex </w:t>
      </w:r>
      <w:r>
        <w:t>O</w:t>
      </w:r>
      <w:r w:rsidRPr="00FA53F2">
        <w:t xml:space="preserve">fficio </w:t>
      </w:r>
      <w:r>
        <w:t>Partners</w:t>
      </w:r>
      <w:r w:rsidRPr="00FA53F2">
        <w:t xml:space="preserve"> are subject matter experts and/or Chapman University Health and Safety stakeholders nominated and approved by </w:t>
      </w:r>
      <w:r>
        <w:t>Department</w:t>
      </w:r>
      <w:r w:rsidR="00BF70B6">
        <w:t xml:space="preserve"> and EH&amp;S</w:t>
      </w:r>
      <w:r>
        <w:t xml:space="preserve"> Representatives</w:t>
      </w:r>
      <w:r w:rsidRPr="00FA53F2">
        <w:t xml:space="preserve">. These </w:t>
      </w:r>
      <w:r>
        <w:t>Partners</w:t>
      </w:r>
      <w:r w:rsidRPr="00FA53F2">
        <w:t xml:space="preserve"> may include, but are not limited to, representatives from the faculty, Facilities Management, Fire and Life Safety, or Public Safety. Ex </w:t>
      </w:r>
      <w:r>
        <w:t>O</w:t>
      </w:r>
      <w:r w:rsidRPr="00FA53F2">
        <w:t xml:space="preserve">fficio </w:t>
      </w:r>
      <w:r>
        <w:t>Partners</w:t>
      </w:r>
      <w:r w:rsidRPr="00FA53F2">
        <w:t xml:space="preserve"> have no voting rights. </w:t>
      </w:r>
    </w:p>
    <w:p w14:paraId="7F7FFFE9" w14:textId="12B150D3" w:rsidR="00ED0160" w:rsidRDefault="00ED0160" w:rsidP="005F6093"/>
    <w:p w14:paraId="37766221" w14:textId="77777777" w:rsidR="00603C8F" w:rsidRPr="00ED0160" w:rsidRDefault="00603C8F" w:rsidP="005F6093"/>
    <w:p w14:paraId="3EDF61D5" w14:textId="1A1C8328" w:rsidR="00ED0160" w:rsidRDefault="00FC592B" w:rsidP="005F6093">
      <w:pPr>
        <w:spacing w:after="120"/>
        <w:rPr>
          <w:rFonts w:cstheme="minorHAnsi"/>
          <w:b/>
          <w:bCs/>
          <w:color w:val="1F3864" w:themeColor="accent1" w:themeShade="80"/>
          <w:sz w:val="36"/>
          <w:szCs w:val="36"/>
        </w:rPr>
      </w:pPr>
      <w:r>
        <w:rPr>
          <w:rFonts w:cstheme="minorHAnsi"/>
          <w:b/>
          <w:bCs/>
          <w:color w:val="1F3864" w:themeColor="accent1" w:themeShade="80"/>
          <w:sz w:val="36"/>
          <w:szCs w:val="36"/>
        </w:rPr>
        <w:t>Quorum and Voting</w:t>
      </w:r>
    </w:p>
    <w:p w14:paraId="1CA2C8C2" w14:textId="0A6B6A7D" w:rsidR="00FC592B" w:rsidRDefault="00FC592B" w:rsidP="005F6093">
      <w:r>
        <w:t>Department Representatives</w:t>
      </w:r>
      <w:r w:rsidRPr="004C60F1">
        <w:t xml:space="preserve"> from the four member departments and</w:t>
      </w:r>
      <w:r w:rsidR="00BF70B6">
        <w:t xml:space="preserve"> the</w:t>
      </w:r>
      <w:r w:rsidRPr="004C60F1">
        <w:t xml:space="preserve"> EH&amp;S</w:t>
      </w:r>
      <w:r w:rsidR="00BF70B6">
        <w:t xml:space="preserve"> Representative</w:t>
      </w:r>
      <w:r w:rsidRPr="004C60F1">
        <w:t xml:space="preserve"> count towards the quorum. The quorum is the majority (&gt;50%) of </w:t>
      </w:r>
      <w:r>
        <w:t>Representatives</w:t>
      </w:r>
      <w:r w:rsidRPr="004C60F1">
        <w:t xml:space="preserve">, including at least one </w:t>
      </w:r>
      <w:r w:rsidR="00BF70B6">
        <w:t xml:space="preserve">Department </w:t>
      </w:r>
      <w:r>
        <w:t>R</w:t>
      </w:r>
      <w:r w:rsidRPr="004C60F1">
        <w:t xml:space="preserve">epresentative from each member department and </w:t>
      </w:r>
      <w:r w:rsidR="00BF70B6">
        <w:t xml:space="preserve">the </w:t>
      </w:r>
      <w:r w:rsidRPr="004C60F1">
        <w:t>EH&amp;S</w:t>
      </w:r>
      <w:r w:rsidR="00BF70B6">
        <w:t xml:space="preserve"> Representative</w:t>
      </w:r>
      <w:r w:rsidRPr="004C60F1">
        <w:t>.</w:t>
      </w:r>
    </w:p>
    <w:p w14:paraId="12152D25" w14:textId="3840F2ED" w:rsidR="00FC592B" w:rsidRDefault="00FC592B" w:rsidP="005F6093">
      <w:r>
        <w:t xml:space="preserve">Each Department Representative is entitled to a single vote. If a tie should occur, the EH&amp;S Representative will cast a tie-breaking vote. </w:t>
      </w:r>
      <w:r w:rsidRPr="004C60F1">
        <w:t xml:space="preserve">When a scheduling conflict prevents a </w:t>
      </w:r>
      <w:r>
        <w:t>Department</w:t>
      </w:r>
      <w:r w:rsidR="00D42FC8">
        <w:t xml:space="preserve"> or EH&amp;S </w:t>
      </w:r>
      <w:r>
        <w:t>Representative</w:t>
      </w:r>
      <w:r w:rsidRPr="004C60F1">
        <w:t xml:space="preserve"> from attending, the</w:t>
      </w:r>
      <w:r w:rsidR="00BF70B6">
        <w:t xml:space="preserve"> </w:t>
      </w:r>
      <w:r>
        <w:t>Representative</w:t>
      </w:r>
      <w:r w:rsidRPr="004C60F1">
        <w:t xml:space="preserve"> may email their vote(s) to the Chair and </w:t>
      </w:r>
      <w:r>
        <w:t>Vice Chair</w:t>
      </w:r>
      <w:r w:rsidRPr="004C60F1">
        <w:t xml:space="preserve"> within 72 hours of the meeting minutes being distributed</w:t>
      </w:r>
      <w:r>
        <w:t>.</w:t>
      </w:r>
    </w:p>
    <w:p w14:paraId="5DBE7300" w14:textId="23D8F5C9" w:rsidR="00FC592B" w:rsidRDefault="00FC592B" w:rsidP="005F6093"/>
    <w:p w14:paraId="5559EE3E" w14:textId="77777777" w:rsidR="00603C8F" w:rsidRDefault="00603C8F" w:rsidP="005F6093"/>
    <w:p w14:paraId="70C51EA6" w14:textId="0F7448C9" w:rsidR="00FC592B" w:rsidRDefault="00FC592B" w:rsidP="005F6093">
      <w:pPr>
        <w:spacing w:after="120"/>
        <w:rPr>
          <w:rFonts w:cstheme="minorHAnsi"/>
          <w:b/>
          <w:bCs/>
          <w:color w:val="1F3864" w:themeColor="accent1" w:themeShade="80"/>
          <w:sz w:val="36"/>
          <w:szCs w:val="36"/>
        </w:rPr>
      </w:pPr>
      <w:r>
        <w:rPr>
          <w:rFonts w:cstheme="minorHAnsi"/>
          <w:b/>
          <w:bCs/>
          <w:color w:val="1F3864" w:themeColor="accent1" w:themeShade="80"/>
          <w:sz w:val="36"/>
          <w:szCs w:val="36"/>
        </w:rPr>
        <w:t>Meeting Frequency and Length</w:t>
      </w:r>
    </w:p>
    <w:p w14:paraId="59496C1B" w14:textId="38FC5049" w:rsidR="00FC592B" w:rsidRDefault="00FC592B" w:rsidP="005F6093">
      <w:r w:rsidRPr="004C60F1">
        <w:t>Theatre and Entertainment Safety Alliance meetings will be held quarterly in July, October, January, and April.</w:t>
      </w:r>
      <w:r w:rsidR="009320CF">
        <w:t xml:space="preserve"> </w:t>
      </w:r>
      <w:r w:rsidR="00E900FE">
        <w:t>While meeting attendance is generally limited to Department Representatives</w:t>
      </w:r>
      <w:r w:rsidR="00BF70B6">
        <w:t>, the EH&amp;S Representative,</w:t>
      </w:r>
      <w:r w:rsidR="00E900FE">
        <w:t xml:space="preserve"> and Ex Officio Partners, </w:t>
      </w:r>
      <w:r w:rsidR="00E900FE" w:rsidRPr="00E900FE">
        <w:t>Members are encouraged to attend the July meeting of each new term</w:t>
      </w:r>
      <w:r w:rsidR="00E900FE">
        <w:t>. Guests are also welcome when invited by a Department</w:t>
      </w:r>
      <w:r w:rsidR="00BF70B6">
        <w:t xml:space="preserve"> or EH&amp;S</w:t>
      </w:r>
      <w:r w:rsidR="00E900FE">
        <w:t xml:space="preserve"> Representative and approved by the Chair or Vice Chair.</w:t>
      </w:r>
    </w:p>
    <w:p w14:paraId="5BCFA57C" w14:textId="480C5D30" w:rsidR="00E900FE" w:rsidRDefault="00E900FE" w:rsidP="005F6093"/>
    <w:p w14:paraId="2BECD000" w14:textId="771A6148" w:rsidR="00E900FE" w:rsidRDefault="00E900FE" w:rsidP="005F6093">
      <w:r w:rsidRPr="00E900FE">
        <w:t xml:space="preserve">The dates of the quarterly meetings will be determined at the July meeting. Meeting dates, times, and frequency may be changed by a majority vote of the </w:t>
      </w:r>
      <w:r w:rsidR="00BF70B6">
        <w:t>Representatives</w:t>
      </w:r>
      <w:r w:rsidRPr="00E900FE">
        <w:t>.</w:t>
      </w:r>
    </w:p>
    <w:p w14:paraId="41CB9E2C" w14:textId="28517706" w:rsidR="00E900FE" w:rsidRDefault="00E900FE" w:rsidP="00E900FE">
      <w:pPr>
        <w:jc w:val="both"/>
      </w:pPr>
    </w:p>
    <w:tbl>
      <w:tblPr>
        <w:tblStyle w:val="TableGrid"/>
        <w:tblW w:w="10075" w:type="dxa"/>
        <w:tblCellMar>
          <w:left w:w="72" w:type="dxa"/>
          <w:right w:w="72" w:type="dxa"/>
        </w:tblCellMar>
        <w:tblLook w:val="04A0" w:firstRow="1" w:lastRow="0" w:firstColumn="1" w:lastColumn="0" w:noHBand="0" w:noVBand="1"/>
      </w:tblPr>
      <w:tblGrid>
        <w:gridCol w:w="3046"/>
        <w:gridCol w:w="1178"/>
        <w:gridCol w:w="1013"/>
        <w:gridCol w:w="1058"/>
        <w:gridCol w:w="1080"/>
        <w:gridCol w:w="2700"/>
      </w:tblGrid>
      <w:tr w:rsidR="00663078" w14:paraId="6ECAB292" w14:textId="77777777" w:rsidTr="007A2366">
        <w:tc>
          <w:tcPr>
            <w:tcW w:w="3046" w:type="dxa"/>
            <w:vAlign w:val="center"/>
          </w:tcPr>
          <w:p w14:paraId="619A8F32" w14:textId="1421E47D" w:rsidR="00E900FE" w:rsidRPr="0076674A" w:rsidRDefault="00E900FE" w:rsidP="00663078">
            <w:pPr>
              <w:rPr>
                <w:b/>
                <w:bCs/>
              </w:rPr>
            </w:pPr>
            <w:r w:rsidRPr="0076674A">
              <w:rPr>
                <w:b/>
                <w:bCs/>
              </w:rPr>
              <w:t>Meetings</w:t>
            </w:r>
          </w:p>
        </w:tc>
        <w:tc>
          <w:tcPr>
            <w:tcW w:w="1178" w:type="dxa"/>
            <w:vAlign w:val="center"/>
          </w:tcPr>
          <w:p w14:paraId="0174551F" w14:textId="42242F46" w:rsidR="00E900FE" w:rsidRPr="0076674A" w:rsidRDefault="00663078" w:rsidP="00663078">
            <w:pPr>
              <w:jc w:val="center"/>
              <w:rPr>
                <w:b/>
                <w:bCs/>
              </w:rPr>
            </w:pPr>
            <w:r w:rsidRPr="0076674A">
              <w:rPr>
                <w:b/>
                <w:bCs/>
              </w:rPr>
              <w:t>July</w:t>
            </w:r>
          </w:p>
        </w:tc>
        <w:tc>
          <w:tcPr>
            <w:tcW w:w="1013" w:type="dxa"/>
            <w:vAlign w:val="center"/>
          </w:tcPr>
          <w:p w14:paraId="66F24593" w14:textId="027DD34D" w:rsidR="00E900FE" w:rsidRPr="0076674A" w:rsidRDefault="00663078" w:rsidP="00663078">
            <w:pPr>
              <w:jc w:val="center"/>
              <w:rPr>
                <w:b/>
                <w:bCs/>
              </w:rPr>
            </w:pPr>
            <w:r w:rsidRPr="0076674A">
              <w:rPr>
                <w:b/>
                <w:bCs/>
              </w:rPr>
              <w:t>October</w:t>
            </w:r>
          </w:p>
        </w:tc>
        <w:tc>
          <w:tcPr>
            <w:tcW w:w="1058" w:type="dxa"/>
            <w:vAlign w:val="center"/>
          </w:tcPr>
          <w:p w14:paraId="776404E6" w14:textId="1DD54948" w:rsidR="00E900FE" w:rsidRPr="0076674A" w:rsidRDefault="00663078" w:rsidP="00663078">
            <w:pPr>
              <w:jc w:val="center"/>
              <w:rPr>
                <w:b/>
                <w:bCs/>
              </w:rPr>
            </w:pPr>
            <w:r w:rsidRPr="0076674A">
              <w:rPr>
                <w:b/>
                <w:bCs/>
              </w:rPr>
              <w:t>January</w:t>
            </w:r>
          </w:p>
        </w:tc>
        <w:tc>
          <w:tcPr>
            <w:tcW w:w="1080" w:type="dxa"/>
            <w:vAlign w:val="center"/>
          </w:tcPr>
          <w:p w14:paraId="531CD175" w14:textId="5C1FD186" w:rsidR="00E900FE" w:rsidRPr="0076674A" w:rsidRDefault="00663078" w:rsidP="00663078">
            <w:pPr>
              <w:jc w:val="center"/>
              <w:rPr>
                <w:b/>
                <w:bCs/>
              </w:rPr>
            </w:pPr>
            <w:r w:rsidRPr="0076674A">
              <w:rPr>
                <w:b/>
                <w:bCs/>
              </w:rPr>
              <w:t>April</w:t>
            </w:r>
          </w:p>
        </w:tc>
        <w:tc>
          <w:tcPr>
            <w:tcW w:w="2700" w:type="dxa"/>
          </w:tcPr>
          <w:p w14:paraId="139C508B" w14:textId="119BC19B" w:rsidR="00E900FE" w:rsidRPr="0076674A" w:rsidRDefault="00663078" w:rsidP="00663078">
            <w:pPr>
              <w:jc w:val="center"/>
              <w:rPr>
                <w:b/>
                <w:bCs/>
              </w:rPr>
            </w:pPr>
            <w:r w:rsidRPr="0076674A">
              <w:rPr>
                <w:b/>
                <w:bCs/>
              </w:rPr>
              <w:t>General Campus Safety Committee</w:t>
            </w:r>
          </w:p>
        </w:tc>
      </w:tr>
      <w:tr w:rsidR="00663078" w14:paraId="38B861CF" w14:textId="77777777" w:rsidTr="007A2366">
        <w:tc>
          <w:tcPr>
            <w:tcW w:w="3046" w:type="dxa"/>
          </w:tcPr>
          <w:p w14:paraId="71316F37" w14:textId="20885FE1" w:rsidR="00E900FE" w:rsidRDefault="00E900FE" w:rsidP="00E900FE">
            <w:pPr>
              <w:jc w:val="both"/>
            </w:pPr>
            <w:r>
              <w:t>Chair</w:t>
            </w:r>
          </w:p>
        </w:tc>
        <w:tc>
          <w:tcPr>
            <w:tcW w:w="1178" w:type="dxa"/>
          </w:tcPr>
          <w:p w14:paraId="10848BA4" w14:textId="7378F04B" w:rsidR="00E900FE" w:rsidRDefault="00603C8F" w:rsidP="00603C8F">
            <w:pPr>
              <w:jc w:val="center"/>
            </w:pPr>
            <w:r>
              <w:t>X</w:t>
            </w:r>
          </w:p>
        </w:tc>
        <w:tc>
          <w:tcPr>
            <w:tcW w:w="1013" w:type="dxa"/>
          </w:tcPr>
          <w:p w14:paraId="47EDD364" w14:textId="01A75AB8" w:rsidR="00E900FE" w:rsidRDefault="00603C8F" w:rsidP="00603C8F">
            <w:pPr>
              <w:jc w:val="center"/>
            </w:pPr>
            <w:r>
              <w:t>X</w:t>
            </w:r>
          </w:p>
        </w:tc>
        <w:tc>
          <w:tcPr>
            <w:tcW w:w="1058" w:type="dxa"/>
          </w:tcPr>
          <w:p w14:paraId="09D381BE" w14:textId="0C5006DC" w:rsidR="00E900FE" w:rsidRDefault="00603C8F" w:rsidP="00603C8F">
            <w:pPr>
              <w:jc w:val="center"/>
            </w:pPr>
            <w:r>
              <w:t>X</w:t>
            </w:r>
          </w:p>
        </w:tc>
        <w:tc>
          <w:tcPr>
            <w:tcW w:w="1080" w:type="dxa"/>
          </w:tcPr>
          <w:p w14:paraId="12250468" w14:textId="7523DA5F" w:rsidR="00E900FE" w:rsidRDefault="00603C8F" w:rsidP="00603C8F">
            <w:pPr>
              <w:jc w:val="center"/>
            </w:pPr>
            <w:r>
              <w:t>X</w:t>
            </w:r>
          </w:p>
        </w:tc>
        <w:tc>
          <w:tcPr>
            <w:tcW w:w="2700" w:type="dxa"/>
          </w:tcPr>
          <w:p w14:paraId="3126CDF8" w14:textId="7B7D598B" w:rsidR="00E900FE" w:rsidRDefault="00603C8F" w:rsidP="00603C8F">
            <w:pPr>
              <w:jc w:val="center"/>
            </w:pPr>
            <w:r>
              <w:t>X</w:t>
            </w:r>
          </w:p>
        </w:tc>
      </w:tr>
      <w:tr w:rsidR="00663078" w14:paraId="09F5A7DA" w14:textId="77777777" w:rsidTr="007A2366">
        <w:tc>
          <w:tcPr>
            <w:tcW w:w="3046" w:type="dxa"/>
          </w:tcPr>
          <w:p w14:paraId="148D1D51" w14:textId="6C21EF47" w:rsidR="00E900FE" w:rsidRDefault="00E900FE" w:rsidP="00E900FE">
            <w:pPr>
              <w:jc w:val="both"/>
            </w:pPr>
            <w:r>
              <w:t>Vice Chair</w:t>
            </w:r>
          </w:p>
        </w:tc>
        <w:tc>
          <w:tcPr>
            <w:tcW w:w="1178" w:type="dxa"/>
          </w:tcPr>
          <w:p w14:paraId="04AA5B1C" w14:textId="12E128CD" w:rsidR="00E900FE" w:rsidRDefault="00603C8F" w:rsidP="00603C8F">
            <w:pPr>
              <w:jc w:val="center"/>
            </w:pPr>
            <w:r>
              <w:t>X</w:t>
            </w:r>
          </w:p>
        </w:tc>
        <w:tc>
          <w:tcPr>
            <w:tcW w:w="1013" w:type="dxa"/>
          </w:tcPr>
          <w:p w14:paraId="1675FADF" w14:textId="62E70B53" w:rsidR="00E900FE" w:rsidRDefault="00603C8F" w:rsidP="00603C8F">
            <w:pPr>
              <w:jc w:val="center"/>
            </w:pPr>
            <w:r>
              <w:t>X</w:t>
            </w:r>
          </w:p>
        </w:tc>
        <w:tc>
          <w:tcPr>
            <w:tcW w:w="1058" w:type="dxa"/>
          </w:tcPr>
          <w:p w14:paraId="4725EB3E" w14:textId="54AA5A99" w:rsidR="00E900FE" w:rsidRDefault="00603C8F" w:rsidP="00603C8F">
            <w:pPr>
              <w:jc w:val="center"/>
            </w:pPr>
            <w:r>
              <w:t>X</w:t>
            </w:r>
          </w:p>
        </w:tc>
        <w:tc>
          <w:tcPr>
            <w:tcW w:w="1080" w:type="dxa"/>
          </w:tcPr>
          <w:p w14:paraId="14BE8623" w14:textId="26628B8E" w:rsidR="00E900FE" w:rsidRDefault="00603C8F" w:rsidP="00603C8F">
            <w:pPr>
              <w:jc w:val="center"/>
            </w:pPr>
            <w:r>
              <w:t>X</w:t>
            </w:r>
          </w:p>
        </w:tc>
        <w:tc>
          <w:tcPr>
            <w:tcW w:w="2700" w:type="dxa"/>
          </w:tcPr>
          <w:p w14:paraId="6C2CB3AB" w14:textId="2D90969C" w:rsidR="00E900FE" w:rsidRDefault="00603C8F" w:rsidP="00603C8F">
            <w:pPr>
              <w:jc w:val="center"/>
            </w:pPr>
            <w:r>
              <w:t>X</w:t>
            </w:r>
          </w:p>
        </w:tc>
      </w:tr>
      <w:tr w:rsidR="00663078" w14:paraId="751D0F2F" w14:textId="77777777" w:rsidTr="007A2366">
        <w:tc>
          <w:tcPr>
            <w:tcW w:w="3046" w:type="dxa"/>
          </w:tcPr>
          <w:p w14:paraId="30350C12" w14:textId="2BD22FFD" w:rsidR="00E900FE" w:rsidRDefault="00E900FE" w:rsidP="00E900FE">
            <w:pPr>
              <w:jc w:val="both"/>
            </w:pPr>
            <w:r>
              <w:t>Department Representatives</w:t>
            </w:r>
          </w:p>
        </w:tc>
        <w:tc>
          <w:tcPr>
            <w:tcW w:w="1178" w:type="dxa"/>
          </w:tcPr>
          <w:p w14:paraId="7E1CD904" w14:textId="1EEEB837" w:rsidR="00E900FE" w:rsidRDefault="00603C8F" w:rsidP="00603C8F">
            <w:pPr>
              <w:jc w:val="center"/>
            </w:pPr>
            <w:r>
              <w:t>X</w:t>
            </w:r>
          </w:p>
        </w:tc>
        <w:tc>
          <w:tcPr>
            <w:tcW w:w="1013" w:type="dxa"/>
          </w:tcPr>
          <w:p w14:paraId="33BE5D6C" w14:textId="471DCBC7" w:rsidR="00E900FE" w:rsidRDefault="00603C8F" w:rsidP="00603C8F">
            <w:pPr>
              <w:jc w:val="center"/>
            </w:pPr>
            <w:r>
              <w:t>X</w:t>
            </w:r>
          </w:p>
        </w:tc>
        <w:tc>
          <w:tcPr>
            <w:tcW w:w="1058" w:type="dxa"/>
          </w:tcPr>
          <w:p w14:paraId="2912D286" w14:textId="5D1F7B2A" w:rsidR="00E900FE" w:rsidRDefault="00603C8F" w:rsidP="00603C8F">
            <w:pPr>
              <w:jc w:val="center"/>
            </w:pPr>
            <w:r>
              <w:t>X</w:t>
            </w:r>
          </w:p>
        </w:tc>
        <w:tc>
          <w:tcPr>
            <w:tcW w:w="1080" w:type="dxa"/>
          </w:tcPr>
          <w:p w14:paraId="522333CC" w14:textId="1BC4ED5A" w:rsidR="00E900FE" w:rsidRDefault="00603C8F" w:rsidP="00603C8F">
            <w:pPr>
              <w:jc w:val="center"/>
            </w:pPr>
            <w:r>
              <w:t>X</w:t>
            </w:r>
          </w:p>
        </w:tc>
        <w:tc>
          <w:tcPr>
            <w:tcW w:w="2700" w:type="dxa"/>
          </w:tcPr>
          <w:p w14:paraId="2B870023" w14:textId="77777777" w:rsidR="00E900FE" w:rsidRDefault="00E900FE" w:rsidP="00603C8F">
            <w:pPr>
              <w:jc w:val="center"/>
            </w:pPr>
          </w:p>
        </w:tc>
      </w:tr>
      <w:tr w:rsidR="00663078" w14:paraId="1D46AE18" w14:textId="77777777" w:rsidTr="007A2366">
        <w:tc>
          <w:tcPr>
            <w:tcW w:w="3046" w:type="dxa"/>
          </w:tcPr>
          <w:p w14:paraId="76DC816C" w14:textId="1BD74080" w:rsidR="00E900FE" w:rsidRDefault="00E900FE" w:rsidP="00E900FE">
            <w:pPr>
              <w:jc w:val="both"/>
            </w:pPr>
            <w:r>
              <w:t>Members</w:t>
            </w:r>
          </w:p>
        </w:tc>
        <w:tc>
          <w:tcPr>
            <w:tcW w:w="1178" w:type="dxa"/>
          </w:tcPr>
          <w:p w14:paraId="045DF61D" w14:textId="6CD2492B" w:rsidR="00E900FE" w:rsidRDefault="00603C8F" w:rsidP="00603C8F">
            <w:pPr>
              <w:jc w:val="center"/>
            </w:pPr>
            <w:r>
              <w:t>X</w:t>
            </w:r>
          </w:p>
        </w:tc>
        <w:tc>
          <w:tcPr>
            <w:tcW w:w="1013" w:type="dxa"/>
          </w:tcPr>
          <w:p w14:paraId="23B75CFA" w14:textId="77777777" w:rsidR="00E900FE" w:rsidRDefault="00E900FE" w:rsidP="00603C8F">
            <w:pPr>
              <w:jc w:val="center"/>
            </w:pPr>
          </w:p>
        </w:tc>
        <w:tc>
          <w:tcPr>
            <w:tcW w:w="1058" w:type="dxa"/>
          </w:tcPr>
          <w:p w14:paraId="4C769D44" w14:textId="77777777" w:rsidR="00E900FE" w:rsidRDefault="00E900FE" w:rsidP="00603C8F">
            <w:pPr>
              <w:jc w:val="center"/>
            </w:pPr>
          </w:p>
        </w:tc>
        <w:tc>
          <w:tcPr>
            <w:tcW w:w="1080" w:type="dxa"/>
          </w:tcPr>
          <w:p w14:paraId="7D7C0740" w14:textId="77777777" w:rsidR="00E900FE" w:rsidRDefault="00E900FE" w:rsidP="00603C8F">
            <w:pPr>
              <w:jc w:val="center"/>
            </w:pPr>
          </w:p>
        </w:tc>
        <w:tc>
          <w:tcPr>
            <w:tcW w:w="2700" w:type="dxa"/>
          </w:tcPr>
          <w:p w14:paraId="1A2F2261" w14:textId="77777777" w:rsidR="00E900FE" w:rsidRDefault="00E900FE" w:rsidP="00603C8F">
            <w:pPr>
              <w:jc w:val="center"/>
            </w:pPr>
          </w:p>
        </w:tc>
      </w:tr>
      <w:tr w:rsidR="00663078" w14:paraId="2ED7C381" w14:textId="77777777" w:rsidTr="007A2366">
        <w:tc>
          <w:tcPr>
            <w:tcW w:w="3046" w:type="dxa"/>
          </w:tcPr>
          <w:p w14:paraId="3B9193CE" w14:textId="3739891C" w:rsidR="00E900FE" w:rsidRDefault="00E900FE" w:rsidP="00E900FE">
            <w:pPr>
              <w:jc w:val="both"/>
            </w:pPr>
            <w:r>
              <w:t>Ex Officio Partners</w:t>
            </w:r>
          </w:p>
        </w:tc>
        <w:tc>
          <w:tcPr>
            <w:tcW w:w="1178" w:type="dxa"/>
          </w:tcPr>
          <w:p w14:paraId="5AE00B71" w14:textId="77777777" w:rsidR="00E900FE" w:rsidRDefault="00E900FE" w:rsidP="00603C8F">
            <w:pPr>
              <w:jc w:val="center"/>
            </w:pPr>
          </w:p>
        </w:tc>
        <w:tc>
          <w:tcPr>
            <w:tcW w:w="1013" w:type="dxa"/>
          </w:tcPr>
          <w:p w14:paraId="6023E470" w14:textId="77777777" w:rsidR="00E900FE" w:rsidRDefault="00E900FE" w:rsidP="00603C8F">
            <w:pPr>
              <w:jc w:val="center"/>
            </w:pPr>
          </w:p>
        </w:tc>
        <w:tc>
          <w:tcPr>
            <w:tcW w:w="1058" w:type="dxa"/>
          </w:tcPr>
          <w:p w14:paraId="5BFF763A" w14:textId="77777777" w:rsidR="00E900FE" w:rsidRDefault="00E900FE" w:rsidP="00603C8F">
            <w:pPr>
              <w:jc w:val="center"/>
            </w:pPr>
          </w:p>
        </w:tc>
        <w:tc>
          <w:tcPr>
            <w:tcW w:w="1080" w:type="dxa"/>
          </w:tcPr>
          <w:p w14:paraId="72676B3B" w14:textId="77777777" w:rsidR="00E900FE" w:rsidRDefault="00E900FE" w:rsidP="00603C8F">
            <w:pPr>
              <w:jc w:val="center"/>
            </w:pPr>
          </w:p>
        </w:tc>
        <w:tc>
          <w:tcPr>
            <w:tcW w:w="2700" w:type="dxa"/>
          </w:tcPr>
          <w:p w14:paraId="0489A050" w14:textId="77777777" w:rsidR="00E900FE" w:rsidRDefault="00E900FE" w:rsidP="00603C8F">
            <w:pPr>
              <w:jc w:val="center"/>
            </w:pPr>
          </w:p>
        </w:tc>
      </w:tr>
    </w:tbl>
    <w:p w14:paraId="6F5EC37C" w14:textId="217E54F3" w:rsidR="00E900FE" w:rsidRDefault="00E900FE" w:rsidP="00E900FE">
      <w:pPr>
        <w:jc w:val="both"/>
      </w:pPr>
    </w:p>
    <w:p w14:paraId="618E1770" w14:textId="4D8D924C" w:rsidR="00E900FE" w:rsidRPr="00E900FE" w:rsidRDefault="00E900FE" w:rsidP="005F6093">
      <w:r>
        <w:t>Department</w:t>
      </w:r>
      <w:r w:rsidR="00BF70B6">
        <w:t xml:space="preserve"> and EH&amp;S</w:t>
      </w:r>
      <w:r>
        <w:t xml:space="preserve"> Representatives, Members, and Ex Officio Partners</w:t>
      </w:r>
      <w:r w:rsidRPr="00E900FE">
        <w:t xml:space="preserve"> may attend meetings remotely. </w:t>
      </w:r>
      <w:r>
        <w:t xml:space="preserve">Individuals </w:t>
      </w:r>
      <w:r w:rsidRPr="00E900FE">
        <w:t xml:space="preserve">should notify the </w:t>
      </w:r>
      <w:r w:rsidR="00BF70B6">
        <w:t>Vice Chair</w:t>
      </w:r>
      <w:r w:rsidRPr="00E900FE">
        <w:t xml:space="preserve"> as soon as possible if they cannot attend the meeting in person but will attend remotely. The </w:t>
      </w:r>
      <w:r w:rsidR="00BF70B6">
        <w:t>Vice Chair</w:t>
      </w:r>
      <w:r w:rsidRPr="00E900FE">
        <w:t xml:space="preserve"> will make the necessary arrangements (Microsoft Teams or Zoom meetings) for each meeting and will be ready for remote meeting attendees.</w:t>
      </w:r>
    </w:p>
    <w:p w14:paraId="068DAD25" w14:textId="7615B2A3" w:rsidR="00E900FE" w:rsidRDefault="00E900FE" w:rsidP="005F6093"/>
    <w:p w14:paraId="3973098E" w14:textId="77777777" w:rsidR="00603C8F" w:rsidRPr="00E900FE" w:rsidRDefault="00603C8F" w:rsidP="005F6093"/>
    <w:p w14:paraId="1D5FDDCB" w14:textId="29EC344A" w:rsidR="00E900FE" w:rsidRDefault="00603C8F" w:rsidP="005F6093">
      <w:pPr>
        <w:spacing w:after="120"/>
        <w:rPr>
          <w:rFonts w:cstheme="minorHAnsi"/>
          <w:b/>
          <w:bCs/>
          <w:color w:val="1F3864" w:themeColor="accent1" w:themeShade="80"/>
          <w:sz w:val="36"/>
          <w:szCs w:val="36"/>
        </w:rPr>
      </w:pPr>
      <w:r>
        <w:rPr>
          <w:rFonts w:cstheme="minorHAnsi"/>
          <w:b/>
          <w:bCs/>
          <w:color w:val="1F3864" w:themeColor="accent1" w:themeShade="80"/>
          <w:sz w:val="36"/>
          <w:szCs w:val="36"/>
        </w:rPr>
        <w:t>Agenda Setting</w:t>
      </w:r>
    </w:p>
    <w:p w14:paraId="009AF651" w14:textId="6311FAC1" w:rsidR="00603C8F" w:rsidRDefault="00603C8F" w:rsidP="005F6093">
      <w:r w:rsidRPr="00603C8F">
        <w:t xml:space="preserve">The agenda is set in advance during a preparatory meeting between the Chair </w:t>
      </w:r>
      <w:r>
        <w:t>and</w:t>
      </w:r>
      <w:r w:rsidRPr="00603C8F">
        <w:t xml:space="preserve"> Vice Chair. </w:t>
      </w:r>
      <w:r>
        <w:t>Department Representatives</w:t>
      </w:r>
      <w:r w:rsidRPr="00603C8F">
        <w:t xml:space="preserve"> are encouraged to suggest agenda items to the </w:t>
      </w:r>
      <w:r>
        <w:t>Chair or Vice Chair</w:t>
      </w:r>
      <w:r w:rsidRPr="00603C8F">
        <w:t xml:space="preserve"> at least one week prior to the quarterly Alliance meeting. </w:t>
      </w:r>
      <w:r w:rsidR="00D42FC8">
        <w:t xml:space="preserve">Department </w:t>
      </w:r>
      <w:r>
        <w:t>Representatives</w:t>
      </w:r>
      <w:r w:rsidRPr="00603C8F">
        <w:t xml:space="preserve"> should make every effort to inform the </w:t>
      </w:r>
      <w:r>
        <w:t xml:space="preserve">Chair or Vice Chair </w:t>
      </w:r>
      <w:r w:rsidRPr="00603C8F">
        <w:t>in advance of topics that may result in a lengthy discussion so that the agenda can be adjusted to accommodate the discussion.</w:t>
      </w:r>
    </w:p>
    <w:p w14:paraId="2B5026F6" w14:textId="4FE098B1" w:rsidR="00603C8F" w:rsidRDefault="00603C8F" w:rsidP="005F6093"/>
    <w:p w14:paraId="764E8F25" w14:textId="77777777" w:rsidR="00603C8F" w:rsidRDefault="00603C8F" w:rsidP="005F6093"/>
    <w:p w14:paraId="659EB447" w14:textId="0F8B40BA" w:rsidR="00603C8F" w:rsidRDefault="00603C8F" w:rsidP="005F6093">
      <w:pPr>
        <w:spacing w:after="120"/>
        <w:rPr>
          <w:rFonts w:cstheme="minorHAnsi"/>
          <w:b/>
          <w:bCs/>
          <w:color w:val="1F3864" w:themeColor="accent1" w:themeShade="80"/>
          <w:sz w:val="36"/>
          <w:szCs w:val="36"/>
        </w:rPr>
      </w:pPr>
      <w:r>
        <w:rPr>
          <w:rFonts w:cstheme="minorHAnsi"/>
          <w:b/>
          <w:bCs/>
          <w:color w:val="1F3864" w:themeColor="accent1" w:themeShade="80"/>
          <w:sz w:val="36"/>
          <w:szCs w:val="36"/>
        </w:rPr>
        <w:t>Updates to this Charter</w:t>
      </w:r>
    </w:p>
    <w:p w14:paraId="301CF2B0" w14:textId="099B3DF0" w:rsidR="003E42CF" w:rsidRDefault="00603C8F" w:rsidP="005F6093">
      <w:r>
        <w:t>Department</w:t>
      </w:r>
      <w:r w:rsidR="00D42FC8">
        <w:t xml:space="preserve"> and EH&amp;S</w:t>
      </w:r>
      <w:r>
        <w:t xml:space="preserve"> Representatives from the</w:t>
      </w:r>
      <w:r w:rsidRPr="00603C8F">
        <w:t xml:space="preserve"> Theatre and Entertainment Safety Alliance shall review the charter at least once per term and determine if any changes are needed. </w:t>
      </w:r>
    </w:p>
    <w:p w14:paraId="23A3D670" w14:textId="0D05F13D" w:rsidR="003E42CF" w:rsidRDefault="003E42CF" w:rsidP="005F6093">
      <w:pPr>
        <w:spacing w:after="120"/>
        <w:rPr>
          <w:rFonts w:cstheme="minorHAnsi"/>
          <w:b/>
          <w:bCs/>
          <w:color w:val="1F3864" w:themeColor="accent1" w:themeShade="80"/>
          <w:sz w:val="36"/>
          <w:szCs w:val="36"/>
        </w:rPr>
      </w:pPr>
      <w:r>
        <w:rPr>
          <w:rFonts w:cstheme="minorHAnsi"/>
          <w:b/>
          <w:bCs/>
          <w:color w:val="1F3864" w:themeColor="accent1" w:themeShade="80"/>
          <w:sz w:val="36"/>
          <w:szCs w:val="36"/>
        </w:rPr>
        <w:t>Appendix 1: Theatre and Entertainment Safety Alliance Membership</w:t>
      </w:r>
    </w:p>
    <w:p w14:paraId="395711EB" w14:textId="560A56CF" w:rsidR="003E42CF" w:rsidRDefault="003E42CF" w:rsidP="005F6093">
      <w:pPr>
        <w:pStyle w:val="Heading2"/>
        <w:spacing w:before="0" w:after="240"/>
        <w:rPr>
          <w:rFonts w:asciiTheme="minorHAnsi" w:hAnsiTheme="minorHAnsi" w:cstheme="minorHAnsi"/>
          <w:sz w:val="30"/>
          <w:szCs w:val="30"/>
        </w:rPr>
      </w:pPr>
      <w:r>
        <w:rPr>
          <w:rFonts w:asciiTheme="minorHAnsi" w:hAnsiTheme="minorHAnsi" w:cstheme="minorHAnsi"/>
          <w:sz w:val="30"/>
          <w:szCs w:val="30"/>
        </w:rPr>
        <w:t>Department</w:t>
      </w:r>
      <w:r w:rsidR="00017087">
        <w:rPr>
          <w:rFonts w:asciiTheme="minorHAnsi" w:hAnsiTheme="minorHAnsi" w:cstheme="minorHAnsi"/>
          <w:sz w:val="30"/>
          <w:szCs w:val="30"/>
        </w:rPr>
        <w:t xml:space="preserve"> and EH&amp;S</w:t>
      </w:r>
      <w:r>
        <w:rPr>
          <w:rFonts w:asciiTheme="minorHAnsi" w:hAnsiTheme="minorHAnsi" w:cstheme="minorHAnsi"/>
          <w:sz w:val="30"/>
          <w:szCs w:val="30"/>
        </w:rPr>
        <w:t xml:space="preserve"> Representatives</w:t>
      </w:r>
    </w:p>
    <w:p w14:paraId="1B5A1769" w14:textId="215182AA" w:rsidR="00017087" w:rsidRPr="00017087" w:rsidRDefault="00017087" w:rsidP="005F6093">
      <w:pPr>
        <w:pStyle w:val="Heading3"/>
        <w:spacing w:after="60"/>
        <w:rPr>
          <w:rFonts w:ascii="Calibri" w:hAnsi="Calibri"/>
        </w:rPr>
      </w:pPr>
      <w:r>
        <w:tab/>
      </w:r>
      <w:r w:rsidRPr="00017087">
        <w:rPr>
          <w:rFonts w:ascii="Calibri" w:hAnsi="Calibri"/>
          <w:color w:val="2F5496" w:themeColor="accent1" w:themeShade="BF"/>
        </w:rPr>
        <w:t>Chapman Auditorium/Theatre Operations</w:t>
      </w:r>
    </w:p>
    <w:p w14:paraId="4F0E6AAE" w14:textId="48DC0CFA" w:rsidR="00017087" w:rsidRDefault="00017087" w:rsidP="005F6093">
      <w:pPr>
        <w:pStyle w:val="ListParagraph"/>
        <w:numPr>
          <w:ilvl w:val="0"/>
          <w:numId w:val="5"/>
        </w:numPr>
      </w:pPr>
      <w:r>
        <w:t>Fujii, Brian</w:t>
      </w:r>
    </w:p>
    <w:p w14:paraId="3CEABFD7" w14:textId="73E81D32" w:rsidR="00017087" w:rsidRDefault="00017087" w:rsidP="005F6093">
      <w:pPr>
        <w:pStyle w:val="ListParagraph"/>
        <w:numPr>
          <w:ilvl w:val="0"/>
          <w:numId w:val="5"/>
        </w:numPr>
      </w:pPr>
      <w:r>
        <w:t>Park, James David JD</w:t>
      </w:r>
    </w:p>
    <w:p w14:paraId="2AB4FC6E" w14:textId="2E2A36D3" w:rsidR="00017087" w:rsidRDefault="00017087" w:rsidP="005F6093"/>
    <w:p w14:paraId="38047798" w14:textId="4942540F" w:rsidR="003E42CF" w:rsidRDefault="00017087" w:rsidP="005F6093">
      <w:pPr>
        <w:spacing w:after="60"/>
        <w:ind w:firstLine="720"/>
        <w:rPr>
          <w:rFonts w:ascii="Calibri" w:hAnsi="Calibri"/>
          <w:color w:val="2F5496" w:themeColor="accent1" w:themeShade="BF"/>
        </w:rPr>
      </w:pPr>
      <w:r>
        <w:rPr>
          <w:rFonts w:ascii="Calibri" w:hAnsi="Calibri"/>
          <w:color w:val="2F5496" w:themeColor="accent1" w:themeShade="BF"/>
        </w:rPr>
        <w:t>College of Performing Arts</w:t>
      </w:r>
    </w:p>
    <w:p w14:paraId="109F8F94" w14:textId="15A4241B" w:rsidR="00017087" w:rsidRDefault="00017087" w:rsidP="005F6093">
      <w:pPr>
        <w:pStyle w:val="ListParagraph"/>
        <w:numPr>
          <w:ilvl w:val="0"/>
          <w:numId w:val="6"/>
        </w:numPr>
      </w:pPr>
      <w:r>
        <w:t>Ameel, Marc</w:t>
      </w:r>
    </w:p>
    <w:p w14:paraId="5509D0D0" w14:textId="089A823C" w:rsidR="00017087" w:rsidRDefault="00017087" w:rsidP="005F6093">
      <w:pPr>
        <w:pStyle w:val="ListParagraph"/>
        <w:numPr>
          <w:ilvl w:val="0"/>
          <w:numId w:val="6"/>
        </w:numPr>
      </w:pPr>
      <w:r>
        <w:t>Westenhofer, Peter</w:t>
      </w:r>
    </w:p>
    <w:p w14:paraId="2A82E774" w14:textId="1DE243BE" w:rsidR="00017087" w:rsidRDefault="00017087" w:rsidP="005F6093"/>
    <w:p w14:paraId="0C4D8C92" w14:textId="56F80D0A" w:rsidR="00017087" w:rsidRDefault="00017087" w:rsidP="005F6093">
      <w:pPr>
        <w:spacing w:after="60"/>
        <w:ind w:firstLine="720"/>
        <w:rPr>
          <w:rFonts w:ascii="Calibri" w:hAnsi="Calibri"/>
          <w:color w:val="2F5496" w:themeColor="accent1" w:themeShade="BF"/>
        </w:rPr>
      </w:pPr>
      <w:r>
        <w:rPr>
          <w:rFonts w:ascii="Calibri" w:hAnsi="Calibri"/>
          <w:color w:val="2F5496" w:themeColor="accent1" w:themeShade="BF"/>
        </w:rPr>
        <w:t>Dodge College of Film and Media Arts</w:t>
      </w:r>
    </w:p>
    <w:p w14:paraId="05191732" w14:textId="1BCB088B" w:rsidR="00017087" w:rsidRDefault="00017087" w:rsidP="005F6093">
      <w:pPr>
        <w:pStyle w:val="ListParagraph"/>
        <w:numPr>
          <w:ilvl w:val="0"/>
          <w:numId w:val="7"/>
        </w:numPr>
      </w:pPr>
      <w:r>
        <w:t>Peterson, Nick</w:t>
      </w:r>
    </w:p>
    <w:p w14:paraId="57138A0C" w14:textId="583FFCF9" w:rsidR="00017087" w:rsidRDefault="00017087" w:rsidP="005F6093">
      <w:pPr>
        <w:pStyle w:val="ListParagraph"/>
        <w:numPr>
          <w:ilvl w:val="0"/>
          <w:numId w:val="7"/>
        </w:numPr>
      </w:pPr>
      <w:r>
        <w:t>Tyler, Marita</w:t>
      </w:r>
    </w:p>
    <w:p w14:paraId="29D8C98E" w14:textId="55202429" w:rsidR="00017087" w:rsidRDefault="00017087" w:rsidP="005F6093"/>
    <w:p w14:paraId="4D181116" w14:textId="22543272" w:rsidR="00017087" w:rsidRDefault="00017087" w:rsidP="005F6093">
      <w:pPr>
        <w:spacing w:after="60"/>
        <w:ind w:firstLine="720"/>
        <w:rPr>
          <w:rFonts w:ascii="Calibri" w:hAnsi="Calibri"/>
          <w:color w:val="2F5496" w:themeColor="accent1" w:themeShade="BF"/>
        </w:rPr>
      </w:pPr>
      <w:proofErr w:type="spellStart"/>
      <w:r>
        <w:rPr>
          <w:rFonts w:ascii="Calibri" w:hAnsi="Calibri"/>
          <w:color w:val="2F5496" w:themeColor="accent1" w:themeShade="BF"/>
        </w:rPr>
        <w:t>Musco</w:t>
      </w:r>
      <w:proofErr w:type="spellEnd"/>
      <w:r>
        <w:rPr>
          <w:rFonts w:ascii="Calibri" w:hAnsi="Calibri"/>
          <w:color w:val="2F5496" w:themeColor="accent1" w:themeShade="BF"/>
        </w:rPr>
        <w:t xml:space="preserve"> Center for the Arts</w:t>
      </w:r>
    </w:p>
    <w:p w14:paraId="131FF13F" w14:textId="0A7AA0EC" w:rsidR="00017087" w:rsidRDefault="00017087" w:rsidP="005F6093">
      <w:pPr>
        <w:pStyle w:val="ListParagraph"/>
        <w:numPr>
          <w:ilvl w:val="0"/>
          <w:numId w:val="8"/>
        </w:numPr>
      </w:pPr>
      <w:r>
        <w:t>Modrell, Josh (Chair)</w:t>
      </w:r>
    </w:p>
    <w:p w14:paraId="1D7C308A" w14:textId="2887064B" w:rsidR="00017087" w:rsidRDefault="00017087" w:rsidP="005F6093">
      <w:pPr>
        <w:pStyle w:val="ListParagraph"/>
        <w:numPr>
          <w:ilvl w:val="0"/>
          <w:numId w:val="8"/>
        </w:numPr>
      </w:pPr>
      <w:r>
        <w:t>Thompson, Aaron</w:t>
      </w:r>
    </w:p>
    <w:p w14:paraId="5F0925C3" w14:textId="19F56E3C" w:rsidR="00017087" w:rsidRDefault="00017087" w:rsidP="005F6093"/>
    <w:p w14:paraId="7792A89E" w14:textId="6336A257" w:rsidR="00017087" w:rsidRDefault="00017087" w:rsidP="005F6093">
      <w:pPr>
        <w:spacing w:after="60"/>
        <w:ind w:firstLine="720"/>
        <w:rPr>
          <w:rFonts w:ascii="Calibri" w:hAnsi="Calibri"/>
          <w:color w:val="2F5496" w:themeColor="accent1" w:themeShade="BF"/>
        </w:rPr>
      </w:pPr>
      <w:r>
        <w:rPr>
          <w:rFonts w:ascii="Calibri" w:hAnsi="Calibri"/>
          <w:color w:val="2F5496" w:themeColor="accent1" w:themeShade="BF"/>
        </w:rPr>
        <w:t>Environmental Health and Safety</w:t>
      </w:r>
    </w:p>
    <w:p w14:paraId="41FECC0E" w14:textId="2D18064F" w:rsidR="00017087" w:rsidRDefault="00F009ED" w:rsidP="005F6093">
      <w:pPr>
        <w:pStyle w:val="ListParagraph"/>
        <w:numPr>
          <w:ilvl w:val="0"/>
          <w:numId w:val="9"/>
        </w:numPr>
      </w:pPr>
      <w:r>
        <w:t>TBD</w:t>
      </w:r>
    </w:p>
    <w:p w14:paraId="2E941AE6" w14:textId="50FF907C" w:rsidR="00017087" w:rsidRDefault="00017087" w:rsidP="005F6093"/>
    <w:p w14:paraId="7756B704" w14:textId="77777777" w:rsidR="00017087" w:rsidRDefault="00017087" w:rsidP="005F6093"/>
    <w:p w14:paraId="0CFD9CCF" w14:textId="58DEB905" w:rsidR="00017087" w:rsidRDefault="00017087" w:rsidP="005F6093">
      <w:pPr>
        <w:pStyle w:val="Heading2"/>
        <w:spacing w:before="0" w:after="120"/>
        <w:rPr>
          <w:rFonts w:asciiTheme="minorHAnsi" w:hAnsiTheme="minorHAnsi" w:cstheme="minorHAnsi"/>
          <w:sz w:val="30"/>
          <w:szCs w:val="30"/>
        </w:rPr>
      </w:pPr>
      <w:r>
        <w:rPr>
          <w:rFonts w:asciiTheme="minorHAnsi" w:hAnsiTheme="minorHAnsi" w:cstheme="minorHAnsi"/>
          <w:sz w:val="30"/>
          <w:szCs w:val="30"/>
        </w:rPr>
        <w:t>Members</w:t>
      </w:r>
    </w:p>
    <w:p w14:paraId="736CCDD4" w14:textId="30213621" w:rsidR="00017087" w:rsidRDefault="00017087" w:rsidP="005F6093"/>
    <w:p w14:paraId="05264A10" w14:textId="28F3F286" w:rsidR="00017087" w:rsidRDefault="00017087" w:rsidP="005F6093"/>
    <w:p w14:paraId="25F216C5" w14:textId="3BA200A5" w:rsidR="00017087" w:rsidRDefault="00017087" w:rsidP="005F6093">
      <w:pPr>
        <w:pStyle w:val="Heading2"/>
        <w:spacing w:before="0" w:after="120"/>
        <w:rPr>
          <w:rFonts w:asciiTheme="minorHAnsi" w:hAnsiTheme="minorHAnsi" w:cstheme="minorHAnsi"/>
          <w:sz w:val="30"/>
          <w:szCs w:val="30"/>
        </w:rPr>
      </w:pPr>
      <w:r>
        <w:rPr>
          <w:rFonts w:asciiTheme="minorHAnsi" w:hAnsiTheme="minorHAnsi" w:cstheme="minorHAnsi"/>
          <w:sz w:val="30"/>
          <w:szCs w:val="30"/>
        </w:rPr>
        <w:t>Ex Officio Partners</w:t>
      </w:r>
    </w:p>
    <w:p w14:paraId="31ABC6B0" w14:textId="77777777" w:rsidR="00017087" w:rsidRPr="00017087" w:rsidRDefault="00017087" w:rsidP="00017087"/>
    <w:p w14:paraId="23E7C1AC" w14:textId="77777777" w:rsidR="00017087" w:rsidRPr="00ED0160" w:rsidRDefault="00017087" w:rsidP="00017087">
      <w:pPr>
        <w:jc w:val="both"/>
      </w:pPr>
    </w:p>
    <w:sectPr w:rsidR="00017087" w:rsidRPr="00ED0160" w:rsidSect="00AC5DE5">
      <w:footerReference w:type="even"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3588" w14:textId="77777777" w:rsidR="00CC5A2B" w:rsidRDefault="00CC5A2B" w:rsidP="00D07825">
      <w:r>
        <w:separator/>
      </w:r>
    </w:p>
  </w:endnote>
  <w:endnote w:type="continuationSeparator" w:id="0">
    <w:p w14:paraId="64DBFCA7" w14:textId="77777777" w:rsidR="00CC5A2B" w:rsidRDefault="00CC5A2B" w:rsidP="00D0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Medium">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2117549"/>
      <w:docPartObj>
        <w:docPartGallery w:val="Page Numbers (Bottom of Page)"/>
        <w:docPartUnique/>
      </w:docPartObj>
    </w:sdtPr>
    <w:sdtEndPr>
      <w:rPr>
        <w:rStyle w:val="PageNumber"/>
      </w:rPr>
    </w:sdtEndPr>
    <w:sdtContent>
      <w:p w14:paraId="2D773DAD" w14:textId="749CE363" w:rsidR="00D07825" w:rsidRDefault="00D07825" w:rsidP="00724B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910D0D" w14:textId="77777777" w:rsidR="00D07825" w:rsidRDefault="00D07825" w:rsidP="00D078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9B2D" w14:textId="74DCB06E" w:rsidR="00D07825" w:rsidRPr="00D07825" w:rsidRDefault="00D07825" w:rsidP="00724B70">
    <w:pPr>
      <w:pStyle w:val="Footer"/>
      <w:framePr w:wrap="none" w:vAnchor="text" w:hAnchor="margin" w:xAlign="right" w:y="1"/>
      <w:rPr>
        <w:rStyle w:val="PageNumber"/>
      </w:rPr>
    </w:pPr>
    <w:r w:rsidRPr="00D07825">
      <w:rPr>
        <w:rStyle w:val="PageNumber"/>
      </w:rPr>
      <w:t xml:space="preserve">Page </w:t>
    </w:r>
    <w:r w:rsidRPr="00D07825">
      <w:rPr>
        <w:rStyle w:val="PageNumber"/>
      </w:rPr>
      <w:fldChar w:fldCharType="begin"/>
    </w:r>
    <w:r w:rsidRPr="00D07825">
      <w:rPr>
        <w:rStyle w:val="PageNumber"/>
      </w:rPr>
      <w:instrText xml:space="preserve"> PAGE </w:instrText>
    </w:r>
    <w:r w:rsidRPr="00D07825">
      <w:rPr>
        <w:rStyle w:val="PageNumber"/>
      </w:rPr>
      <w:fldChar w:fldCharType="separate"/>
    </w:r>
    <w:r w:rsidRPr="00D07825">
      <w:rPr>
        <w:rStyle w:val="PageNumber"/>
        <w:noProof/>
      </w:rPr>
      <w:t>2</w:t>
    </w:r>
    <w:r w:rsidRPr="00D07825">
      <w:rPr>
        <w:rStyle w:val="PageNumber"/>
      </w:rPr>
      <w:fldChar w:fldCharType="end"/>
    </w:r>
    <w:r w:rsidRPr="00D07825">
      <w:rPr>
        <w:rStyle w:val="PageNumber"/>
      </w:rPr>
      <w:t xml:space="preserve"> of </w:t>
    </w:r>
    <w:r w:rsidRPr="00D07825">
      <w:rPr>
        <w:rStyle w:val="PageNumber"/>
      </w:rPr>
      <w:fldChar w:fldCharType="begin"/>
    </w:r>
    <w:r w:rsidRPr="00D07825">
      <w:rPr>
        <w:rStyle w:val="PageNumber"/>
      </w:rPr>
      <w:instrText xml:space="preserve"> NUMPAGES </w:instrText>
    </w:r>
    <w:r w:rsidRPr="00D07825">
      <w:rPr>
        <w:rStyle w:val="PageNumber"/>
      </w:rPr>
      <w:fldChar w:fldCharType="separate"/>
    </w:r>
    <w:r w:rsidRPr="00D07825">
      <w:rPr>
        <w:rStyle w:val="PageNumber"/>
        <w:noProof/>
      </w:rPr>
      <w:t>4</w:t>
    </w:r>
    <w:r w:rsidRPr="00D07825">
      <w:rPr>
        <w:rStyle w:val="PageNumber"/>
      </w:rPr>
      <w:fldChar w:fldCharType="end"/>
    </w:r>
  </w:p>
  <w:p w14:paraId="594FE832" w14:textId="233DA1B9" w:rsidR="00D07825" w:rsidRDefault="00D07825" w:rsidP="00D07825">
    <w:pPr>
      <w:pStyle w:val="Footer"/>
      <w:ind w:right="360"/>
    </w:pPr>
    <w:r>
      <w:t xml:space="preserve">Revised: </w:t>
    </w:r>
    <w:r>
      <w:fldChar w:fldCharType="begin"/>
    </w:r>
    <w:r>
      <w:instrText xml:space="preserve"> DATE \@ "MMMM d, yyyy" </w:instrText>
    </w:r>
    <w:r>
      <w:fldChar w:fldCharType="separate"/>
    </w:r>
    <w:r w:rsidR="00F009ED">
      <w:rPr>
        <w:noProof/>
      </w:rPr>
      <w:t>June 14,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DF1E" w14:textId="77777777" w:rsidR="00CC5A2B" w:rsidRDefault="00CC5A2B" w:rsidP="00D07825">
      <w:r>
        <w:separator/>
      </w:r>
    </w:p>
  </w:footnote>
  <w:footnote w:type="continuationSeparator" w:id="0">
    <w:p w14:paraId="7B9D20C8" w14:textId="77777777" w:rsidR="00CC5A2B" w:rsidRDefault="00CC5A2B" w:rsidP="00D07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046"/>
    <w:multiLevelType w:val="hybridMultilevel"/>
    <w:tmpl w:val="9A10F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32324"/>
    <w:multiLevelType w:val="multilevel"/>
    <w:tmpl w:val="C26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A16E5"/>
    <w:multiLevelType w:val="multilevel"/>
    <w:tmpl w:val="E9C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A7E13"/>
    <w:multiLevelType w:val="multilevel"/>
    <w:tmpl w:val="D5AC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B21C2"/>
    <w:multiLevelType w:val="hybridMultilevel"/>
    <w:tmpl w:val="7736C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76224B"/>
    <w:multiLevelType w:val="hybridMultilevel"/>
    <w:tmpl w:val="89D66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533226"/>
    <w:multiLevelType w:val="hybridMultilevel"/>
    <w:tmpl w:val="393AD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600BD5"/>
    <w:multiLevelType w:val="multilevel"/>
    <w:tmpl w:val="2DDC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64A64"/>
    <w:multiLevelType w:val="hybridMultilevel"/>
    <w:tmpl w:val="487C46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3"/>
  </w:num>
  <w:num w:numId="4">
    <w:abstractNumId w:val="1"/>
  </w:num>
  <w:num w:numId="5">
    <w:abstractNumId w:val="0"/>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E5"/>
    <w:rsid w:val="00017087"/>
    <w:rsid w:val="0027626D"/>
    <w:rsid w:val="00370B8D"/>
    <w:rsid w:val="003E42CF"/>
    <w:rsid w:val="00521F80"/>
    <w:rsid w:val="005F6093"/>
    <w:rsid w:val="00603C8F"/>
    <w:rsid w:val="00663078"/>
    <w:rsid w:val="006955C8"/>
    <w:rsid w:val="00731F83"/>
    <w:rsid w:val="00763902"/>
    <w:rsid w:val="0076674A"/>
    <w:rsid w:val="007A2366"/>
    <w:rsid w:val="009320CF"/>
    <w:rsid w:val="00A66962"/>
    <w:rsid w:val="00AC5DE5"/>
    <w:rsid w:val="00B067B8"/>
    <w:rsid w:val="00BE483C"/>
    <w:rsid w:val="00BF70B6"/>
    <w:rsid w:val="00C97F43"/>
    <w:rsid w:val="00CC5A2B"/>
    <w:rsid w:val="00CC6A95"/>
    <w:rsid w:val="00D07825"/>
    <w:rsid w:val="00D30D8F"/>
    <w:rsid w:val="00D42FC8"/>
    <w:rsid w:val="00D55B0F"/>
    <w:rsid w:val="00D72CDA"/>
    <w:rsid w:val="00E900FE"/>
    <w:rsid w:val="00ED0160"/>
    <w:rsid w:val="00F009ED"/>
    <w:rsid w:val="00FA53F2"/>
    <w:rsid w:val="00FC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6D6A"/>
  <w15:chartTrackingRefBased/>
  <w15:docId w15:val="{AD5F371A-B497-1E42-AAC5-7ED8C7CC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D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6A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708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5D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E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C5DE5"/>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AC5D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6A9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0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825"/>
    <w:pPr>
      <w:tabs>
        <w:tab w:val="center" w:pos="4680"/>
        <w:tab w:val="right" w:pos="9360"/>
      </w:tabs>
    </w:pPr>
  </w:style>
  <w:style w:type="character" w:customStyle="1" w:styleId="HeaderChar">
    <w:name w:val="Header Char"/>
    <w:basedOn w:val="DefaultParagraphFont"/>
    <w:link w:val="Header"/>
    <w:uiPriority w:val="99"/>
    <w:rsid w:val="00D07825"/>
  </w:style>
  <w:style w:type="paragraph" w:styleId="Footer">
    <w:name w:val="footer"/>
    <w:basedOn w:val="Normal"/>
    <w:link w:val="FooterChar"/>
    <w:uiPriority w:val="99"/>
    <w:unhideWhenUsed/>
    <w:rsid w:val="00D07825"/>
    <w:pPr>
      <w:tabs>
        <w:tab w:val="center" w:pos="4680"/>
        <w:tab w:val="right" w:pos="9360"/>
      </w:tabs>
    </w:pPr>
  </w:style>
  <w:style w:type="character" w:customStyle="1" w:styleId="FooterChar">
    <w:name w:val="Footer Char"/>
    <w:basedOn w:val="DefaultParagraphFont"/>
    <w:link w:val="Footer"/>
    <w:uiPriority w:val="99"/>
    <w:rsid w:val="00D07825"/>
  </w:style>
  <w:style w:type="character" w:styleId="PageNumber">
    <w:name w:val="page number"/>
    <w:basedOn w:val="DefaultParagraphFont"/>
    <w:uiPriority w:val="99"/>
    <w:semiHidden/>
    <w:unhideWhenUsed/>
    <w:rsid w:val="00D07825"/>
  </w:style>
  <w:style w:type="character" w:customStyle="1" w:styleId="Heading3Char">
    <w:name w:val="Heading 3 Char"/>
    <w:basedOn w:val="DefaultParagraphFont"/>
    <w:link w:val="Heading3"/>
    <w:uiPriority w:val="9"/>
    <w:rsid w:val="00017087"/>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01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5</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Modrell, Joshua</dc:creator>
  <cp:keywords/>
  <dc:description/>
  <cp:lastModifiedBy>Evangelista, Jennie</cp:lastModifiedBy>
  <cp:revision>11</cp:revision>
  <cp:lastPrinted>2020-09-04T19:49:00Z</cp:lastPrinted>
  <dcterms:created xsi:type="dcterms:W3CDTF">2020-09-03T18:44:00Z</dcterms:created>
  <dcterms:modified xsi:type="dcterms:W3CDTF">2021-06-15T02:50:00Z</dcterms:modified>
</cp:coreProperties>
</file>