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84E1F" w14:textId="77777777" w:rsidR="00FF4297" w:rsidRDefault="00636D7E" w:rsidP="0095184D">
      <w:pPr>
        <w:pStyle w:val="Heading2"/>
      </w:pPr>
      <w:bookmarkStart w:id="0" w:name="_Hlk8635476"/>
      <w:r>
        <w:t xml:space="preserve">Financial Systems </w:t>
      </w:r>
    </w:p>
    <w:p w14:paraId="3566957F" w14:textId="656C054C" w:rsidR="0033079E" w:rsidRDefault="00636D7E" w:rsidP="0033079E">
      <w:pPr>
        <w:ind w:left="720"/>
      </w:pPr>
      <w:r>
        <w:t>Chapman University uses Peopl</w:t>
      </w:r>
      <w:r w:rsidR="0033079E">
        <w:t>e</w:t>
      </w:r>
      <w:r>
        <w:t>soft for its financial system of record.  Various subsystems</w:t>
      </w:r>
      <w:r w:rsidR="00F677E4">
        <w:t xml:space="preserve"> (see </w:t>
      </w:r>
      <w:r w:rsidR="00B9701F">
        <w:t>GL Transaction Detail Report S</w:t>
      </w:r>
      <w:r w:rsidR="00F677E4">
        <w:t xml:space="preserve">ources </w:t>
      </w:r>
      <w:r w:rsidR="00B9701F">
        <w:t xml:space="preserve">section </w:t>
      </w:r>
      <w:r w:rsidR="00F677E4">
        <w:t>below)</w:t>
      </w:r>
      <w:r>
        <w:t xml:space="preserve"> are used and</w:t>
      </w:r>
      <w:r w:rsidR="0095184D">
        <w:t xml:space="preserve"> integrated with</w:t>
      </w:r>
      <w:r>
        <w:t xml:space="preserve"> Peoplesoft Financials.  Concur is used for Travel and Expenses.  Peopl</w:t>
      </w:r>
      <w:r w:rsidR="0033079E">
        <w:t>e</w:t>
      </w:r>
      <w:r>
        <w:t>soft Campus</w:t>
      </w:r>
      <w:r w:rsidR="0033079E">
        <w:t xml:space="preserve"> Solutions</w:t>
      </w:r>
      <w:r>
        <w:t xml:space="preserve"> and Human Resources</w:t>
      </w:r>
      <w:r w:rsidR="0033079E">
        <w:t xml:space="preserve"> HCM</w:t>
      </w:r>
      <w:r>
        <w:t xml:space="preserve"> </w:t>
      </w:r>
      <w:r w:rsidR="00D75884">
        <w:t>are</w:t>
      </w:r>
      <w:r>
        <w:t xml:space="preserve"> used for student and employee records and tracking.  </w:t>
      </w:r>
    </w:p>
    <w:bookmarkEnd w:id="0"/>
    <w:p w14:paraId="535374BC" w14:textId="77777777" w:rsidR="0095184D" w:rsidRDefault="0095184D" w:rsidP="0095184D"/>
    <w:p w14:paraId="3842AE2A" w14:textId="41817B8D" w:rsidR="0095184D" w:rsidRDefault="0095184D" w:rsidP="0095184D">
      <w:pPr>
        <w:pStyle w:val="Heading2"/>
      </w:pPr>
      <w:r>
        <w:t>Commitment Control (KK) or Budget KK Actuals/Encumbrances/Pre-Encumbrances</w:t>
      </w:r>
    </w:p>
    <w:p w14:paraId="71205B8B" w14:textId="53DCAEF7" w:rsidR="0095184D" w:rsidRDefault="0095184D" w:rsidP="0095184D">
      <w:pPr>
        <w:ind w:left="720"/>
      </w:pPr>
      <w:r>
        <w:t xml:space="preserve">Transactions are posted to KK/Budget ledgers to track budget and spending.  Items posted to the KK ledgers will eventually get posted to the GL Actuals ledger once </w:t>
      </w:r>
      <w:r w:rsidR="00B9701F">
        <w:t>they are</w:t>
      </w:r>
      <w:r>
        <w:t xml:space="preserve"> approved.  There is often a timing difference due to workflow approvals.  The KK/Budget ledger is tracked by Expense, Encumbrance and Pre-Encumbrance.  The following types of transactions are posted to the ledgers.</w:t>
      </w:r>
    </w:p>
    <w:p w14:paraId="0164DEFB" w14:textId="77777777" w:rsidR="0095184D" w:rsidRDefault="0095184D" w:rsidP="0095184D">
      <w:pPr>
        <w:pStyle w:val="ListParagraph"/>
        <w:numPr>
          <w:ilvl w:val="0"/>
          <w:numId w:val="6"/>
        </w:numPr>
      </w:pPr>
      <w:r>
        <w:t>KK Expense Ledger – AP vouchers, Journal Entries and Expense Reports</w:t>
      </w:r>
    </w:p>
    <w:p w14:paraId="15CB03DA" w14:textId="77777777" w:rsidR="0095184D" w:rsidRDefault="0095184D" w:rsidP="0095184D">
      <w:pPr>
        <w:pStyle w:val="ListParagraph"/>
        <w:numPr>
          <w:ilvl w:val="0"/>
          <w:numId w:val="6"/>
        </w:numPr>
      </w:pPr>
      <w:r>
        <w:t>KK Encumbrance Ledger – Open Purchase Orders and Travel Requests</w:t>
      </w:r>
    </w:p>
    <w:p w14:paraId="285F6C4F" w14:textId="4CE2BC54" w:rsidR="0095184D" w:rsidRDefault="0095184D" w:rsidP="0095184D">
      <w:pPr>
        <w:pStyle w:val="ListParagraph"/>
        <w:numPr>
          <w:ilvl w:val="0"/>
          <w:numId w:val="6"/>
        </w:numPr>
      </w:pPr>
      <w:r>
        <w:t>KK Pre-Encumbrance Ledger – Requisitions before they are sourced to a Purchase Order</w:t>
      </w:r>
    </w:p>
    <w:p w14:paraId="41AB0AEA" w14:textId="77777777" w:rsidR="0095184D" w:rsidRDefault="0095184D" w:rsidP="0095184D">
      <w:pPr>
        <w:pStyle w:val="Heading2"/>
      </w:pPr>
      <w:bookmarkStart w:id="1" w:name="_GoBack"/>
      <w:bookmarkEnd w:id="1"/>
    </w:p>
    <w:p w14:paraId="676DE577" w14:textId="383AC52C" w:rsidR="0095184D" w:rsidRDefault="0095184D" w:rsidP="0095184D">
      <w:pPr>
        <w:pStyle w:val="Heading2"/>
      </w:pPr>
      <w:r>
        <w:t>Encumbrance &amp; Pre-Encumbrance</w:t>
      </w:r>
    </w:p>
    <w:p w14:paraId="7E08F20C" w14:textId="27F8D5FA" w:rsidR="0095184D" w:rsidRDefault="0095184D" w:rsidP="0095184D">
      <w:pPr>
        <w:ind w:left="720"/>
      </w:pPr>
      <w:r>
        <w:t xml:space="preserve">An encumbrance is a liability or reserve against a budget.  </w:t>
      </w:r>
      <w:r w:rsidR="007500EA">
        <w:t xml:space="preserve">Encumbrances are created with purchase orders and travel requests. </w:t>
      </w:r>
      <w:r w:rsidR="00703C99">
        <w:t xml:space="preserve">When a requisition is created and budget checked, a pre-encumbrance is recorded.  When the Purchasing Department sources the Requisition into a Purchase order, the pre-encumbrance is reversed and becomes an encumbrance.  Encumbrances are reversed when the actual expense is posted by an Accounts Payable invoice.  </w:t>
      </w:r>
      <w:r>
        <w:t xml:space="preserve">Some examples </w:t>
      </w:r>
      <w:r w:rsidR="007500EA">
        <w:t xml:space="preserve">- </w:t>
      </w:r>
      <w:r>
        <w:t xml:space="preserve">PO encumbrance is reversed when Accounts Payable receives and posts the invoice related to the PO.  A Travel Request encumbrance is reversed when the traveler creates an expense report linked to the travel request.  </w:t>
      </w:r>
    </w:p>
    <w:p w14:paraId="67B6B5EB" w14:textId="77777777" w:rsidR="0095184D" w:rsidRDefault="0095184D" w:rsidP="00FF4297"/>
    <w:p w14:paraId="39A57EDD" w14:textId="77777777" w:rsidR="00511DFE" w:rsidRDefault="00FF4297" w:rsidP="0095184D">
      <w:pPr>
        <w:pStyle w:val="Heading2"/>
      </w:pPr>
      <w:r>
        <w:t>GL Actuals</w:t>
      </w:r>
      <w:r w:rsidR="00D2721F">
        <w:t>/General Ledger</w:t>
      </w:r>
    </w:p>
    <w:p w14:paraId="1D00ADCB" w14:textId="39F609B8" w:rsidR="00FF4297" w:rsidRDefault="00FF4297" w:rsidP="00245583">
      <w:pPr>
        <w:ind w:left="720"/>
      </w:pPr>
      <w:r>
        <w:t>Chapman University</w:t>
      </w:r>
      <w:r w:rsidR="00D2721F">
        <w:t>’s</w:t>
      </w:r>
      <w:r>
        <w:t xml:space="preserve"> official accounting ledgers where financial transactions are posted.  </w:t>
      </w:r>
      <w:r w:rsidR="00245583">
        <w:t>Can also be referred to as the General Ledger or Actuals Ledger.</w:t>
      </w:r>
    </w:p>
    <w:p w14:paraId="2EDFB49B" w14:textId="57207334" w:rsidR="00703C99" w:rsidRDefault="00703C99" w:rsidP="00245583">
      <w:pPr>
        <w:ind w:left="720"/>
      </w:pPr>
    </w:p>
    <w:p w14:paraId="728C612C" w14:textId="77777777" w:rsidR="00703C99" w:rsidRDefault="00703C99" w:rsidP="00703C99">
      <w:pPr>
        <w:rPr>
          <w:rStyle w:val="Heading2Char"/>
        </w:rPr>
      </w:pPr>
      <w:proofErr w:type="spellStart"/>
      <w:r w:rsidRPr="008737CD">
        <w:rPr>
          <w:rStyle w:val="Heading2Char"/>
        </w:rPr>
        <w:t>Chartfields</w:t>
      </w:r>
      <w:proofErr w:type="spellEnd"/>
    </w:p>
    <w:p w14:paraId="0E78D2B8" w14:textId="77777777" w:rsidR="00703C99" w:rsidRPr="0095184D" w:rsidRDefault="00703C99" w:rsidP="00703C99">
      <w:r w:rsidRPr="0095184D">
        <w:t>Chapman uses the following</w:t>
      </w:r>
      <w:r>
        <w:t xml:space="preserve"> </w:t>
      </w:r>
      <w:proofErr w:type="spellStart"/>
      <w:r>
        <w:t>chartfields</w:t>
      </w:r>
      <w:proofErr w:type="spellEnd"/>
      <w:r>
        <w:t xml:space="preserve"> to categorize expenses for reporting</w:t>
      </w:r>
      <w:r w:rsidRPr="0095184D">
        <w:t>:</w:t>
      </w:r>
    </w:p>
    <w:p w14:paraId="4C388887" w14:textId="77777777" w:rsidR="00703C99" w:rsidRPr="0095184D" w:rsidRDefault="00703C99" w:rsidP="00703C99">
      <w:r w:rsidRPr="0095184D">
        <w:tab/>
      </w:r>
      <w:r w:rsidRPr="000A143B">
        <w:rPr>
          <w:b/>
        </w:rPr>
        <w:t>Business Unit</w:t>
      </w:r>
      <w:r w:rsidRPr="0095184D">
        <w:t xml:space="preserve"> – legal entity, 01=Chapman </w:t>
      </w:r>
    </w:p>
    <w:p w14:paraId="2FDA78E9" w14:textId="77777777" w:rsidR="00703C99" w:rsidRPr="0095184D" w:rsidRDefault="00703C99" w:rsidP="00703C99">
      <w:pPr>
        <w:ind w:left="720"/>
      </w:pPr>
      <w:r w:rsidRPr="000A143B">
        <w:rPr>
          <w:b/>
        </w:rPr>
        <w:t>Fund</w:t>
      </w:r>
      <w:r w:rsidRPr="0095184D">
        <w:t xml:space="preserve"> – used to categorize different types of expenses</w:t>
      </w:r>
      <w:r>
        <w:t>.  E</w:t>
      </w:r>
      <w:r w:rsidRPr="0095184D">
        <w:t xml:space="preserve">xample </w:t>
      </w:r>
      <w:r>
        <w:t>F</w:t>
      </w:r>
      <w:r w:rsidRPr="0095184D">
        <w:t>und 100</w:t>
      </w:r>
      <w:r>
        <w:t xml:space="preserve"> = Operations, Fund 160 =</w:t>
      </w:r>
      <w:r w:rsidRPr="0095184D">
        <w:t xml:space="preserve">Grants, </w:t>
      </w:r>
      <w:r>
        <w:t>Fund 180 = G</w:t>
      </w:r>
      <w:r w:rsidRPr="0095184D">
        <w:t xml:space="preserve">ift </w:t>
      </w:r>
      <w:r>
        <w:t>A</w:t>
      </w:r>
      <w:r w:rsidRPr="0095184D">
        <w:t>c</w:t>
      </w:r>
      <w:r>
        <w:t>c</w:t>
      </w:r>
      <w:r w:rsidRPr="0095184D">
        <w:t>ounts</w:t>
      </w:r>
    </w:p>
    <w:p w14:paraId="6B5D62A0" w14:textId="77777777" w:rsidR="00703C99" w:rsidRPr="0095184D" w:rsidRDefault="00703C99" w:rsidP="00703C99">
      <w:pPr>
        <w:ind w:left="720"/>
      </w:pPr>
      <w:r w:rsidRPr="000A143B">
        <w:rPr>
          <w:b/>
        </w:rPr>
        <w:t>Department</w:t>
      </w:r>
      <w:r w:rsidRPr="0095184D">
        <w:t xml:space="preserve"> – organizational units assigned to a division/school</w:t>
      </w:r>
    </w:p>
    <w:p w14:paraId="789D881C" w14:textId="77777777" w:rsidR="00703C99" w:rsidRPr="0095184D" w:rsidRDefault="00703C99" w:rsidP="00703C99">
      <w:pPr>
        <w:ind w:left="720"/>
      </w:pPr>
      <w:r w:rsidRPr="000A143B">
        <w:rPr>
          <w:b/>
        </w:rPr>
        <w:t>Program</w:t>
      </w:r>
      <w:r w:rsidRPr="0095184D">
        <w:t xml:space="preserve"> – organizational units assigned to a Department</w:t>
      </w:r>
    </w:p>
    <w:p w14:paraId="4E7BA144" w14:textId="77777777" w:rsidR="00703C99" w:rsidRPr="0095184D" w:rsidRDefault="00703C99" w:rsidP="00703C99">
      <w:r w:rsidRPr="0095184D">
        <w:tab/>
      </w:r>
      <w:r w:rsidRPr="000A143B">
        <w:rPr>
          <w:b/>
        </w:rPr>
        <w:t>Operating Unit</w:t>
      </w:r>
      <w:r w:rsidRPr="0095184D">
        <w:t xml:space="preserve"> – </w:t>
      </w:r>
      <w:proofErr w:type="spellStart"/>
      <w:r w:rsidRPr="0095184D">
        <w:t>chartfield</w:t>
      </w:r>
      <w:proofErr w:type="spellEnd"/>
      <w:r w:rsidRPr="0095184D">
        <w:t xml:space="preserve"> used to track endowments</w:t>
      </w:r>
    </w:p>
    <w:p w14:paraId="77E69AB8" w14:textId="77777777" w:rsidR="00703C99" w:rsidRPr="0095184D" w:rsidRDefault="00703C99" w:rsidP="00703C99">
      <w:r w:rsidRPr="0095184D">
        <w:tab/>
      </w:r>
      <w:r w:rsidRPr="000A143B">
        <w:rPr>
          <w:b/>
        </w:rPr>
        <w:t>Project</w:t>
      </w:r>
      <w:r w:rsidRPr="0095184D">
        <w:t xml:space="preserve"> – </w:t>
      </w:r>
      <w:proofErr w:type="spellStart"/>
      <w:r w:rsidRPr="0095184D">
        <w:t>chartfield</w:t>
      </w:r>
      <w:proofErr w:type="spellEnd"/>
      <w:r w:rsidRPr="0095184D">
        <w:t xml:space="preserve"> used to track Capital and Grants</w:t>
      </w:r>
    </w:p>
    <w:p w14:paraId="64CA900F" w14:textId="77777777" w:rsidR="00703C99" w:rsidRPr="0095184D" w:rsidRDefault="00703C99" w:rsidP="00703C99">
      <w:r w:rsidRPr="0095184D">
        <w:tab/>
      </w:r>
      <w:r w:rsidRPr="000A143B">
        <w:rPr>
          <w:b/>
        </w:rPr>
        <w:t>Account</w:t>
      </w:r>
      <w:r w:rsidRPr="0095184D">
        <w:t xml:space="preserve"> – natural classification for types of expenses - example supplies, consulting, wages</w:t>
      </w:r>
    </w:p>
    <w:p w14:paraId="4A057C2B" w14:textId="77777777" w:rsidR="00703C99" w:rsidRPr="0095184D" w:rsidRDefault="00703C99" w:rsidP="00703C99">
      <w:pPr>
        <w:ind w:left="720"/>
      </w:pPr>
      <w:r w:rsidRPr="000A143B">
        <w:rPr>
          <w:b/>
        </w:rPr>
        <w:t>Class</w:t>
      </w:r>
      <w:r w:rsidRPr="0095184D">
        <w:t xml:space="preserve"> – additional (optional) </w:t>
      </w:r>
      <w:proofErr w:type="spellStart"/>
      <w:r w:rsidRPr="0095184D">
        <w:t>chartfield</w:t>
      </w:r>
      <w:proofErr w:type="spellEnd"/>
      <w:r w:rsidRPr="0095184D">
        <w:t xml:space="preserve"> used to track user defined detailed groupings</w:t>
      </w:r>
      <w:r>
        <w:t>.  E</w:t>
      </w:r>
      <w:r w:rsidRPr="0095184D">
        <w:t xml:space="preserve">xample </w:t>
      </w:r>
      <w:r>
        <w:t>C</w:t>
      </w:r>
      <w:r w:rsidRPr="0095184D">
        <w:t xml:space="preserve">lass 1050 can be used to track all computer supplies for a division or Class 1050 in a different division may be used to track a specific faculty member’s travel or grant expenses.  </w:t>
      </w:r>
    </w:p>
    <w:p w14:paraId="12F06404" w14:textId="2B39A3ED" w:rsidR="00703C99" w:rsidRDefault="00703C99" w:rsidP="00703C99"/>
    <w:p w14:paraId="53EFACA3" w14:textId="77777777" w:rsidR="00703C99" w:rsidRPr="0095184D" w:rsidRDefault="00703C99" w:rsidP="00703C99">
      <w:pPr>
        <w:pStyle w:val="Heading2"/>
      </w:pPr>
      <w:proofErr w:type="spellStart"/>
      <w:r w:rsidRPr="0095184D">
        <w:lastRenderedPageBreak/>
        <w:t>Chartfield</w:t>
      </w:r>
      <w:proofErr w:type="spellEnd"/>
      <w:r>
        <w:t xml:space="preserve"> Examples</w:t>
      </w:r>
    </w:p>
    <w:p w14:paraId="2CBEC42E" w14:textId="178C2183" w:rsidR="00703C99" w:rsidRPr="0095184D" w:rsidRDefault="00703C99" w:rsidP="00703C99">
      <w:pPr>
        <w:ind w:left="720"/>
      </w:pPr>
      <w:proofErr w:type="spellStart"/>
      <w:r w:rsidRPr="0095184D">
        <w:t>Chartfields</w:t>
      </w:r>
      <w:proofErr w:type="spellEnd"/>
      <w:r w:rsidRPr="0095184D">
        <w:t xml:space="preserve"> must be entered in specific combinations that can be found on the Peoplesoft Report Fund-Dept-Prog-List ALL PDF</w:t>
      </w:r>
      <w:r w:rsidR="00430049">
        <w:t>*</w:t>
      </w:r>
      <w:r w:rsidRPr="0095184D">
        <w:t xml:space="preserve">. If an invalid combination is entered, the financial systems will give an error message.  New </w:t>
      </w:r>
      <w:proofErr w:type="spellStart"/>
      <w:r w:rsidRPr="0095184D">
        <w:t>chartfield</w:t>
      </w:r>
      <w:r>
        <w:t>s</w:t>
      </w:r>
      <w:proofErr w:type="spellEnd"/>
      <w:r w:rsidRPr="0095184D">
        <w:t xml:space="preserve"> can be requested through your division budget manager.</w:t>
      </w:r>
    </w:p>
    <w:p w14:paraId="2D78DFD2" w14:textId="77777777" w:rsidR="00703C99" w:rsidRPr="0095184D" w:rsidRDefault="00703C99" w:rsidP="00703C99">
      <w:r>
        <w:t>Examples: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715"/>
        <w:gridCol w:w="810"/>
        <w:gridCol w:w="1170"/>
        <w:gridCol w:w="1170"/>
        <w:gridCol w:w="990"/>
        <w:gridCol w:w="5400"/>
      </w:tblGrid>
      <w:tr w:rsidR="00703C99" w:rsidRPr="0095184D" w14:paraId="75E6B732" w14:textId="77777777" w:rsidTr="0075041D">
        <w:tc>
          <w:tcPr>
            <w:tcW w:w="715" w:type="dxa"/>
          </w:tcPr>
          <w:p w14:paraId="112F3D3B" w14:textId="77777777" w:rsidR="00703C99" w:rsidRPr="0095184D" w:rsidRDefault="00703C99" w:rsidP="0075041D">
            <w:r w:rsidRPr="0095184D">
              <w:t>Fund</w:t>
            </w:r>
          </w:p>
        </w:tc>
        <w:tc>
          <w:tcPr>
            <w:tcW w:w="810" w:type="dxa"/>
          </w:tcPr>
          <w:p w14:paraId="5C4CADEA" w14:textId="77777777" w:rsidR="00703C99" w:rsidRPr="0095184D" w:rsidRDefault="00703C99" w:rsidP="0075041D">
            <w:r w:rsidRPr="0095184D">
              <w:t>Dept</w:t>
            </w:r>
          </w:p>
        </w:tc>
        <w:tc>
          <w:tcPr>
            <w:tcW w:w="1170" w:type="dxa"/>
          </w:tcPr>
          <w:p w14:paraId="04B8CDAB" w14:textId="77777777" w:rsidR="00703C99" w:rsidRPr="0095184D" w:rsidRDefault="00703C99" w:rsidP="0075041D">
            <w:r w:rsidRPr="0095184D">
              <w:t>Program</w:t>
            </w:r>
          </w:p>
        </w:tc>
        <w:tc>
          <w:tcPr>
            <w:tcW w:w="1170" w:type="dxa"/>
          </w:tcPr>
          <w:p w14:paraId="40B6BC90" w14:textId="77777777" w:rsidR="00703C99" w:rsidRPr="0095184D" w:rsidRDefault="00703C99" w:rsidP="0075041D">
            <w:proofErr w:type="spellStart"/>
            <w:r w:rsidRPr="0095184D">
              <w:t>Oper</w:t>
            </w:r>
            <w:proofErr w:type="spellEnd"/>
            <w:r w:rsidRPr="0095184D">
              <w:t xml:space="preserve"> Unit</w:t>
            </w:r>
          </w:p>
        </w:tc>
        <w:tc>
          <w:tcPr>
            <w:tcW w:w="990" w:type="dxa"/>
          </w:tcPr>
          <w:p w14:paraId="3D6CB6EE" w14:textId="77777777" w:rsidR="00703C99" w:rsidRPr="0095184D" w:rsidRDefault="00703C99" w:rsidP="0075041D">
            <w:r w:rsidRPr="0095184D">
              <w:t>Project</w:t>
            </w:r>
          </w:p>
        </w:tc>
        <w:tc>
          <w:tcPr>
            <w:tcW w:w="5400" w:type="dxa"/>
          </w:tcPr>
          <w:p w14:paraId="0EB2A167" w14:textId="77777777" w:rsidR="00703C99" w:rsidRPr="0095184D" w:rsidRDefault="00703C99" w:rsidP="0075041D"/>
        </w:tc>
      </w:tr>
      <w:tr w:rsidR="00703C99" w:rsidRPr="0095184D" w14:paraId="49244C2F" w14:textId="77777777" w:rsidTr="0075041D">
        <w:tc>
          <w:tcPr>
            <w:tcW w:w="715" w:type="dxa"/>
          </w:tcPr>
          <w:p w14:paraId="2F0EDDA5" w14:textId="77777777" w:rsidR="00703C99" w:rsidRPr="0095184D" w:rsidRDefault="00703C99" w:rsidP="0075041D">
            <w:r w:rsidRPr="0095184D">
              <w:t>100</w:t>
            </w:r>
          </w:p>
        </w:tc>
        <w:tc>
          <w:tcPr>
            <w:tcW w:w="810" w:type="dxa"/>
          </w:tcPr>
          <w:p w14:paraId="6859CCBE" w14:textId="77777777" w:rsidR="00703C99" w:rsidRPr="0095184D" w:rsidRDefault="00703C99" w:rsidP="0075041D">
            <w:r w:rsidRPr="0095184D">
              <w:t>1320</w:t>
            </w:r>
          </w:p>
        </w:tc>
        <w:tc>
          <w:tcPr>
            <w:tcW w:w="1170" w:type="dxa"/>
          </w:tcPr>
          <w:p w14:paraId="58109201" w14:textId="77777777" w:rsidR="00703C99" w:rsidRPr="0095184D" w:rsidRDefault="00703C99" w:rsidP="0075041D">
            <w:r w:rsidRPr="0095184D">
              <w:t>13200</w:t>
            </w:r>
          </w:p>
        </w:tc>
        <w:tc>
          <w:tcPr>
            <w:tcW w:w="1170" w:type="dxa"/>
          </w:tcPr>
          <w:p w14:paraId="0EBE094E" w14:textId="77777777" w:rsidR="00703C99" w:rsidRPr="0095184D" w:rsidRDefault="00703C99" w:rsidP="0075041D"/>
        </w:tc>
        <w:tc>
          <w:tcPr>
            <w:tcW w:w="990" w:type="dxa"/>
          </w:tcPr>
          <w:p w14:paraId="2B77C01E" w14:textId="77777777" w:rsidR="00703C99" w:rsidRPr="0095184D" w:rsidRDefault="00703C99" w:rsidP="0075041D"/>
        </w:tc>
        <w:tc>
          <w:tcPr>
            <w:tcW w:w="5400" w:type="dxa"/>
          </w:tcPr>
          <w:p w14:paraId="2C11FD04" w14:textId="77777777" w:rsidR="00703C99" w:rsidRPr="0095184D" w:rsidRDefault="00703C99" w:rsidP="0075041D">
            <w:r w:rsidRPr="0095184D">
              <w:t>Operations/Finance Dept/Financial Services Program</w:t>
            </w:r>
          </w:p>
        </w:tc>
      </w:tr>
      <w:tr w:rsidR="00703C99" w:rsidRPr="0095184D" w14:paraId="30BCAA18" w14:textId="77777777" w:rsidTr="0075041D">
        <w:tc>
          <w:tcPr>
            <w:tcW w:w="715" w:type="dxa"/>
          </w:tcPr>
          <w:p w14:paraId="108B76BA" w14:textId="77777777" w:rsidR="00703C99" w:rsidRPr="0095184D" w:rsidRDefault="00703C99" w:rsidP="0075041D">
            <w:r w:rsidRPr="0095184D">
              <w:t>100</w:t>
            </w:r>
          </w:p>
        </w:tc>
        <w:tc>
          <w:tcPr>
            <w:tcW w:w="810" w:type="dxa"/>
          </w:tcPr>
          <w:p w14:paraId="51567444" w14:textId="77777777" w:rsidR="00703C99" w:rsidRPr="0095184D" w:rsidRDefault="00703C99" w:rsidP="0075041D">
            <w:r w:rsidRPr="0095184D">
              <w:t>1320</w:t>
            </w:r>
          </w:p>
        </w:tc>
        <w:tc>
          <w:tcPr>
            <w:tcW w:w="1170" w:type="dxa"/>
          </w:tcPr>
          <w:p w14:paraId="7CB74578" w14:textId="77777777" w:rsidR="00703C99" w:rsidRPr="0095184D" w:rsidRDefault="00703C99" w:rsidP="0075041D">
            <w:r w:rsidRPr="0095184D">
              <w:t>13201</w:t>
            </w:r>
          </w:p>
        </w:tc>
        <w:tc>
          <w:tcPr>
            <w:tcW w:w="1170" w:type="dxa"/>
          </w:tcPr>
          <w:p w14:paraId="1DF0F499" w14:textId="77777777" w:rsidR="00703C99" w:rsidRPr="0095184D" w:rsidRDefault="00703C99" w:rsidP="0075041D"/>
        </w:tc>
        <w:tc>
          <w:tcPr>
            <w:tcW w:w="990" w:type="dxa"/>
          </w:tcPr>
          <w:p w14:paraId="3FE4498E" w14:textId="77777777" w:rsidR="00703C99" w:rsidRPr="0095184D" w:rsidRDefault="00703C99" w:rsidP="0075041D"/>
        </w:tc>
        <w:tc>
          <w:tcPr>
            <w:tcW w:w="5400" w:type="dxa"/>
          </w:tcPr>
          <w:p w14:paraId="33E69A5D" w14:textId="77777777" w:rsidR="00703C99" w:rsidRPr="0095184D" w:rsidRDefault="00703C99" w:rsidP="0075041D">
            <w:r w:rsidRPr="0095184D">
              <w:t>Operations/Finance Dept/Business Office Program</w:t>
            </w:r>
          </w:p>
        </w:tc>
      </w:tr>
      <w:tr w:rsidR="00703C99" w:rsidRPr="0095184D" w14:paraId="6AFDE186" w14:textId="77777777" w:rsidTr="0075041D">
        <w:tc>
          <w:tcPr>
            <w:tcW w:w="715" w:type="dxa"/>
          </w:tcPr>
          <w:p w14:paraId="50D6190F" w14:textId="77777777" w:rsidR="00703C99" w:rsidRPr="0095184D" w:rsidRDefault="00703C99" w:rsidP="0075041D">
            <w:r w:rsidRPr="0095184D">
              <w:t>160</w:t>
            </w:r>
          </w:p>
        </w:tc>
        <w:tc>
          <w:tcPr>
            <w:tcW w:w="810" w:type="dxa"/>
          </w:tcPr>
          <w:p w14:paraId="408C3315" w14:textId="77777777" w:rsidR="00703C99" w:rsidRPr="0095184D" w:rsidRDefault="00703C99" w:rsidP="0075041D">
            <w:r w:rsidRPr="0095184D">
              <w:t>4086</w:t>
            </w:r>
          </w:p>
        </w:tc>
        <w:tc>
          <w:tcPr>
            <w:tcW w:w="1170" w:type="dxa"/>
          </w:tcPr>
          <w:p w14:paraId="5D909647" w14:textId="77777777" w:rsidR="00703C99" w:rsidRPr="0095184D" w:rsidRDefault="00703C99" w:rsidP="0075041D">
            <w:r w:rsidRPr="0095184D">
              <w:t>81001</w:t>
            </w:r>
          </w:p>
        </w:tc>
        <w:tc>
          <w:tcPr>
            <w:tcW w:w="1170" w:type="dxa"/>
          </w:tcPr>
          <w:p w14:paraId="0EE1FFFB" w14:textId="77777777" w:rsidR="00703C99" w:rsidRPr="0095184D" w:rsidRDefault="00703C99" w:rsidP="0075041D"/>
        </w:tc>
        <w:tc>
          <w:tcPr>
            <w:tcW w:w="990" w:type="dxa"/>
          </w:tcPr>
          <w:p w14:paraId="0F260007" w14:textId="77777777" w:rsidR="00703C99" w:rsidRPr="0095184D" w:rsidRDefault="00703C99" w:rsidP="0075041D">
            <w:r w:rsidRPr="0095184D">
              <w:t>500162</w:t>
            </w:r>
          </w:p>
        </w:tc>
        <w:tc>
          <w:tcPr>
            <w:tcW w:w="5400" w:type="dxa"/>
          </w:tcPr>
          <w:p w14:paraId="3FDBB6BA" w14:textId="77777777" w:rsidR="00703C99" w:rsidRPr="0095184D" w:rsidRDefault="00703C99" w:rsidP="0075041D">
            <w:r w:rsidRPr="0095184D">
              <w:t xml:space="preserve">Grant/Biology Dept/Federal Program/NSF </w:t>
            </w:r>
            <w:proofErr w:type="spellStart"/>
            <w:r w:rsidRPr="0095184D">
              <w:t>xxxxx</w:t>
            </w:r>
            <w:proofErr w:type="spellEnd"/>
            <w:r w:rsidRPr="0095184D">
              <w:t xml:space="preserve"> Grant</w:t>
            </w:r>
          </w:p>
        </w:tc>
      </w:tr>
      <w:tr w:rsidR="00703C99" w:rsidRPr="0095184D" w14:paraId="47AD3470" w14:textId="77777777" w:rsidTr="0075041D">
        <w:tc>
          <w:tcPr>
            <w:tcW w:w="715" w:type="dxa"/>
          </w:tcPr>
          <w:p w14:paraId="28C1B75C" w14:textId="77777777" w:rsidR="00703C99" w:rsidRPr="0095184D" w:rsidRDefault="00703C99" w:rsidP="0075041D">
            <w:r w:rsidRPr="0095184D">
              <w:t>185</w:t>
            </w:r>
          </w:p>
        </w:tc>
        <w:tc>
          <w:tcPr>
            <w:tcW w:w="810" w:type="dxa"/>
          </w:tcPr>
          <w:p w14:paraId="2AA40AA2" w14:textId="77777777" w:rsidR="00703C99" w:rsidRPr="0095184D" w:rsidRDefault="00703C99" w:rsidP="0075041D">
            <w:r w:rsidRPr="0095184D">
              <w:t>5490</w:t>
            </w:r>
          </w:p>
        </w:tc>
        <w:tc>
          <w:tcPr>
            <w:tcW w:w="1170" w:type="dxa"/>
          </w:tcPr>
          <w:p w14:paraId="7238A3E4" w14:textId="77777777" w:rsidR="00703C99" w:rsidRPr="0095184D" w:rsidRDefault="00703C99" w:rsidP="0075041D">
            <w:r w:rsidRPr="0095184D">
              <w:t>87050</w:t>
            </w:r>
          </w:p>
        </w:tc>
        <w:tc>
          <w:tcPr>
            <w:tcW w:w="1170" w:type="dxa"/>
          </w:tcPr>
          <w:p w14:paraId="01F46721" w14:textId="77777777" w:rsidR="00703C99" w:rsidRPr="0095184D" w:rsidRDefault="00703C99" w:rsidP="0075041D">
            <w:r w:rsidRPr="0095184D">
              <w:t>98378</w:t>
            </w:r>
          </w:p>
        </w:tc>
        <w:tc>
          <w:tcPr>
            <w:tcW w:w="990" w:type="dxa"/>
          </w:tcPr>
          <w:p w14:paraId="182515DD" w14:textId="77777777" w:rsidR="00703C99" w:rsidRPr="0095184D" w:rsidRDefault="00703C99" w:rsidP="0075041D"/>
        </w:tc>
        <w:tc>
          <w:tcPr>
            <w:tcW w:w="5400" w:type="dxa"/>
          </w:tcPr>
          <w:p w14:paraId="61C46D97" w14:textId="77777777" w:rsidR="00703C99" w:rsidRPr="0095184D" w:rsidRDefault="00703C99" w:rsidP="0075041D">
            <w:r w:rsidRPr="0095184D">
              <w:t xml:space="preserve">Gift/Library Dept/Gift Program </w:t>
            </w:r>
            <w:proofErr w:type="spellStart"/>
            <w:r w:rsidRPr="0095184D">
              <w:t>xxxx</w:t>
            </w:r>
            <w:proofErr w:type="spellEnd"/>
            <w:r w:rsidRPr="0095184D">
              <w:t xml:space="preserve">/Endowment </w:t>
            </w:r>
            <w:proofErr w:type="spellStart"/>
            <w:r w:rsidRPr="0095184D">
              <w:t>xxxxx</w:t>
            </w:r>
            <w:proofErr w:type="spellEnd"/>
          </w:p>
        </w:tc>
      </w:tr>
    </w:tbl>
    <w:p w14:paraId="2B90DB49" w14:textId="410EAAAB" w:rsidR="00430049" w:rsidRPr="0095184D" w:rsidRDefault="00430049" w:rsidP="00430049">
      <w:r>
        <w:t>*Peoplesoft navigation: Main Menu/Chapman Customizations/Reports/</w:t>
      </w:r>
      <w:r>
        <w:t>Fund-Dept-Prog List-ALL PDF</w:t>
      </w:r>
    </w:p>
    <w:p w14:paraId="5D5296F5" w14:textId="77777777" w:rsidR="00703C99" w:rsidRDefault="00703C99" w:rsidP="00703C99"/>
    <w:p w14:paraId="57ABCCCF" w14:textId="1CEE5ED7" w:rsidR="000A143B" w:rsidRPr="0095184D" w:rsidRDefault="000A143B" w:rsidP="000A143B">
      <w:pPr>
        <w:pStyle w:val="Heading2"/>
      </w:pPr>
      <w:r w:rsidRPr="0095184D">
        <w:t>Budget Control</w:t>
      </w:r>
      <w:r>
        <w:t xml:space="preserve"> Accounts</w:t>
      </w:r>
    </w:p>
    <w:p w14:paraId="74DCFE8F" w14:textId="77777777" w:rsidR="000A143B" w:rsidRPr="0095184D" w:rsidRDefault="000A143B" w:rsidP="000A143B">
      <w:pPr>
        <w:ind w:left="720"/>
      </w:pPr>
      <w:r w:rsidRPr="0095184D">
        <w:t xml:space="preserve">Budgets are entered and controlled based on different </w:t>
      </w:r>
      <w:proofErr w:type="spellStart"/>
      <w:r w:rsidRPr="0095184D">
        <w:t>chartfields</w:t>
      </w:r>
      <w:proofErr w:type="spellEnd"/>
      <w:r w:rsidRPr="0095184D">
        <w:t xml:space="preserve"> for Operations, Projects and Other Funds.</w:t>
      </w:r>
    </w:p>
    <w:p w14:paraId="5D1E9A3A" w14:textId="7AF01BCF" w:rsidR="000A143B" w:rsidRPr="0095184D" w:rsidRDefault="00703C99" w:rsidP="000A143B">
      <w:pPr>
        <w:pStyle w:val="ListParagraph"/>
        <w:numPr>
          <w:ilvl w:val="2"/>
          <w:numId w:val="1"/>
        </w:numPr>
        <w:ind w:left="1080"/>
      </w:pPr>
      <w:r>
        <w:t>Ops/</w:t>
      </w:r>
      <w:r w:rsidR="000A143B" w:rsidRPr="0095184D">
        <w:t xml:space="preserve">Operations Fund 100/105 – budget is controlled </w:t>
      </w:r>
      <w:r w:rsidR="00D842F6">
        <w:t>at the</w:t>
      </w:r>
      <w:r w:rsidR="000A143B" w:rsidRPr="0095184D">
        <w:t xml:space="preserve"> </w:t>
      </w:r>
      <w:r w:rsidR="000A143B" w:rsidRPr="0095184D">
        <w:rPr>
          <w:u w:val="single"/>
        </w:rPr>
        <w:t>department</w:t>
      </w:r>
      <w:r w:rsidR="000A143B" w:rsidRPr="0095184D">
        <w:t xml:space="preserve"> </w:t>
      </w:r>
      <w:r w:rsidR="00D842F6">
        <w:t>level</w:t>
      </w:r>
    </w:p>
    <w:p w14:paraId="7A0F7AA9" w14:textId="276DA1DA" w:rsidR="000A143B" w:rsidRPr="0095184D" w:rsidRDefault="000A143B" w:rsidP="000A143B">
      <w:pPr>
        <w:pStyle w:val="ListParagraph"/>
        <w:numPr>
          <w:ilvl w:val="2"/>
          <w:numId w:val="1"/>
        </w:numPr>
        <w:ind w:left="1080"/>
      </w:pPr>
      <w:r w:rsidRPr="0095184D">
        <w:t xml:space="preserve">Projects Grants &amp; Capital Fund 160/560/170/570 – budget is controlled by </w:t>
      </w:r>
      <w:r w:rsidRPr="0095184D">
        <w:rPr>
          <w:u w:val="single"/>
        </w:rPr>
        <w:t>project</w:t>
      </w:r>
    </w:p>
    <w:p w14:paraId="3EE18C32" w14:textId="4605E5B2" w:rsidR="000A143B" w:rsidRPr="0095184D" w:rsidRDefault="00703C99" w:rsidP="000A143B">
      <w:pPr>
        <w:pStyle w:val="ListParagraph"/>
        <w:numPr>
          <w:ilvl w:val="2"/>
          <w:numId w:val="1"/>
        </w:numPr>
        <w:ind w:left="1080"/>
      </w:pPr>
      <w:r>
        <w:t>Non-Ops/</w:t>
      </w:r>
      <w:r w:rsidR="000A143B" w:rsidRPr="0095184D">
        <w:t xml:space="preserve">Other Funds (Restricted) – budget is controlled by </w:t>
      </w:r>
      <w:r w:rsidR="000A143B" w:rsidRPr="0095184D">
        <w:rPr>
          <w:u w:val="single"/>
        </w:rPr>
        <w:t>program</w:t>
      </w:r>
    </w:p>
    <w:p w14:paraId="1D6570F9" w14:textId="77777777" w:rsidR="000A143B" w:rsidRDefault="000A143B" w:rsidP="00D2721F"/>
    <w:p w14:paraId="52296978" w14:textId="0C26C09A" w:rsidR="0095184D" w:rsidRDefault="0095184D" w:rsidP="0095184D">
      <w:pPr>
        <w:pStyle w:val="Heading2"/>
      </w:pPr>
      <w:r>
        <w:t>Journal Entry</w:t>
      </w:r>
    </w:p>
    <w:p w14:paraId="19BFFA23" w14:textId="04937C24" w:rsidR="0095184D" w:rsidRPr="0095184D" w:rsidRDefault="0095184D" w:rsidP="0095184D">
      <w:pPr>
        <w:ind w:left="720"/>
      </w:pPr>
      <w:r w:rsidRPr="0095184D">
        <w:t xml:space="preserve">A journal entry is an accounting transaction made for various reasons such as moving or correcting an expense, accruals or accounting related transactions to a different department/program </w:t>
      </w:r>
      <w:r>
        <w:t xml:space="preserve">and is </w:t>
      </w:r>
      <w:r w:rsidRPr="0095184D">
        <w:t xml:space="preserve">required to follow Generally Accepted Accounting Principles.  Entries are typically done by the accounting department.  </w:t>
      </w:r>
    </w:p>
    <w:p w14:paraId="781A0F9C" w14:textId="77777777" w:rsidR="0095184D" w:rsidRDefault="0095184D" w:rsidP="0095184D">
      <w:pPr>
        <w:pStyle w:val="Heading2"/>
      </w:pPr>
    </w:p>
    <w:p w14:paraId="142B7977" w14:textId="1AD5C3C4" w:rsidR="0095184D" w:rsidRDefault="0095184D" w:rsidP="0095184D">
      <w:pPr>
        <w:pStyle w:val="Heading2"/>
      </w:pPr>
      <w:r>
        <w:t>Accrual Journal Entry</w:t>
      </w:r>
    </w:p>
    <w:p w14:paraId="62DF9708" w14:textId="416F982C" w:rsidR="0095184D" w:rsidRDefault="0095184D" w:rsidP="0095184D">
      <w:pPr>
        <w:ind w:left="720"/>
      </w:pPr>
      <w:r>
        <w:t>When a known expen</w:t>
      </w:r>
      <w:r w:rsidRPr="0095184D">
        <w:t xml:space="preserve">se is not posted to the General Ledger in the correct period, a journal entry is done to account for activity in a month the transaction is </w:t>
      </w:r>
      <w:r w:rsidR="00D75884">
        <w:t>completed</w:t>
      </w:r>
      <w:r w:rsidRPr="0095184D">
        <w:t>.  Accrual entries are booked in the month the transaction should be expensed and reversed the following month.  A typical example is wh</w:t>
      </w:r>
      <w:r>
        <w:t xml:space="preserve">en an invoice arrives the month following the transaction date.  </w:t>
      </w:r>
    </w:p>
    <w:p w14:paraId="3483CEC1" w14:textId="77777777" w:rsidR="005C77B4" w:rsidRDefault="005C77B4" w:rsidP="0095184D"/>
    <w:p w14:paraId="3F9F9822" w14:textId="3566494C" w:rsidR="005C77B4" w:rsidRPr="00A669F2" w:rsidRDefault="00644130" w:rsidP="005C77B4">
      <w:pPr>
        <w:pStyle w:val="Heading2"/>
      </w:pPr>
      <w:r w:rsidRPr="00A669F2">
        <w:t>Cost</w:t>
      </w:r>
      <w:r w:rsidR="005C77B4" w:rsidRPr="00A669F2">
        <w:t xml:space="preserve"> </w:t>
      </w:r>
      <w:r w:rsidR="00475B3C" w:rsidRPr="00A669F2">
        <w:t>Transfer</w:t>
      </w:r>
      <w:r w:rsidR="00A669F2">
        <w:t>/Reclass</w:t>
      </w:r>
      <w:r w:rsidR="00475B3C" w:rsidRPr="00A669F2">
        <w:t xml:space="preserve"> </w:t>
      </w:r>
      <w:r w:rsidR="005C77B4" w:rsidRPr="00A669F2">
        <w:t>Journal</w:t>
      </w:r>
      <w:r w:rsidR="003C1239" w:rsidRPr="00A669F2">
        <w:t xml:space="preserve"> E</w:t>
      </w:r>
      <w:r w:rsidR="005C77B4" w:rsidRPr="00A669F2">
        <w:t>ntry</w:t>
      </w:r>
    </w:p>
    <w:p w14:paraId="689C17E8" w14:textId="792599FF" w:rsidR="005C77B4" w:rsidRPr="00A669F2" w:rsidRDefault="00644130" w:rsidP="005C77B4">
      <w:pPr>
        <w:ind w:left="720"/>
      </w:pPr>
      <w:r w:rsidRPr="00A669F2">
        <w:t>An</w:t>
      </w:r>
      <w:r w:rsidR="005C77B4" w:rsidRPr="00A669F2">
        <w:t xml:space="preserve"> entry</w:t>
      </w:r>
      <w:r w:rsidRPr="00A669F2">
        <w:t xml:space="preserve"> to move amounts from one </w:t>
      </w:r>
      <w:proofErr w:type="spellStart"/>
      <w:r w:rsidRPr="00A669F2">
        <w:t>chartfield</w:t>
      </w:r>
      <w:proofErr w:type="spellEnd"/>
      <w:r w:rsidR="005C77B4" w:rsidRPr="00A669F2">
        <w:t xml:space="preserve"> (department/program/project) to another. </w:t>
      </w:r>
      <w:r w:rsidRPr="00A669F2">
        <w:t xml:space="preserve">A </w:t>
      </w:r>
      <w:r w:rsidR="00A669F2">
        <w:t xml:space="preserve">cost transfer </w:t>
      </w:r>
      <w:r w:rsidRPr="00A669F2">
        <w:t xml:space="preserve">entry moves amounts using expense accounts (example -517005 supplies) from one </w:t>
      </w:r>
      <w:proofErr w:type="spellStart"/>
      <w:r w:rsidRPr="00A669F2">
        <w:t>chartfield</w:t>
      </w:r>
      <w:proofErr w:type="spellEnd"/>
      <w:r w:rsidRPr="00A669F2">
        <w:t xml:space="preserve"> to another.  A </w:t>
      </w:r>
      <w:r w:rsidR="00A669F2">
        <w:t xml:space="preserve">reclass </w:t>
      </w:r>
      <w:r w:rsidRPr="00A669F2">
        <w:t xml:space="preserve">entry moves amounts using </w:t>
      </w:r>
      <w:r w:rsidR="00810E7E" w:rsidRPr="00A669F2">
        <w:t>reclass/</w:t>
      </w:r>
      <w:r w:rsidRPr="00A669F2">
        <w:t xml:space="preserve">transfer accounts (example </w:t>
      </w:r>
      <w:proofErr w:type="gramStart"/>
      <w:r w:rsidRPr="00A669F2">
        <w:t>-</w:t>
      </w:r>
      <w:r w:rsidR="00810E7E" w:rsidRPr="00A669F2">
        <w:t xml:space="preserve"> </w:t>
      </w:r>
      <w:r w:rsidRPr="00A669F2">
        <w:t xml:space="preserve"> </w:t>
      </w:r>
      <w:r w:rsidR="00051BEC" w:rsidRPr="00A669F2">
        <w:t>610305</w:t>
      </w:r>
      <w:proofErr w:type="gramEnd"/>
      <w:r w:rsidR="00051BEC" w:rsidRPr="00A669F2">
        <w:t xml:space="preserve"> transfer gifts or 620220 sharing costs between depts</w:t>
      </w:r>
      <w:r w:rsidRPr="00A669F2">
        <w:t xml:space="preserve">) from one </w:t>
      </w:r>
      <w:proofErr w:type="spellStart"/>
      <w:r w:rsidRPr="00A669F2">
        <w:t>chartfield</w:t>
      </w:r>
      <w:proofErr w:type="spellEnd"/>
      <w:r w:rsidR="00051BEC" w:rsidRPr="00A669F2">
        <w:t xml:space="preserve"> (department/program/project)</w:t>
      </w:r>
      <w:r w:rsidRPr="00A669F2">
        <w:t xml:space="preserve"> to another.  Depending on the nature of the transaction, the financial services accounting staff will determine </w:t>
      </w:r>
      <w:r w:rsidR="003C1239" w:rsidRPr="00A669F2">
        <w:t xml:space="preserve">which </w:t>
      </w:r>
      <w:r w:rsidRPr="00A669F2">
        <w:t xml:space="preserve">type of entry </w:t>
      </w:r>
      <w:r w:rsidR="003C1239" w:rsidRPr="00A669F2">
        <w:t>that will be used.</w:t>
      </w:r>
    </w:p>
    <w:p w14:paraId="21969994" w14:textId="4F15C7D0" w:rsidR="005B7CDE" w:rsidRPr="00F47D6E" w:rsidRDefault="0095184D" w:rsidP="005B7CDE">
      <w:pPr>
        <w:rPr>
          <w:color w:val="00B050"/>
        </w:rPr>
      </w:pPr>
      <w:r w:rsidRPr="00F47D6E">
        <w:rPr>
          <w:color w:val="00B050"/>
        </w:rPr>
        <w:t xml:space="preserve"> </w:t>
      </w:r>
      <w:bookmarkStart w:id="2" w:name="_Hlk8635500"/>
    </w:p>
    <w:p w14:paraId="581954D5" w14:textId="18D43F8C" w:rsidR="005B7CDE" w:rsidRPr="00A669F2" w:rsidRDefault="005B7CDE" w:rsidP="005B7CDE">
      <w:pPr>
        <w:pStyle w:val="Heading2"/>
      </w:pPr>
      <w:r w:rsidRPr="00A669F2">
        <w:t>Budget Transfer</w:t>
      </w:r>
    </w:p>
    <w:p w14:paraId="7225F387" w14:textId="5E5ACE8C" w:rsidR="005B7CDE" w:rsidRPr="00A669F2" w:rsidRDefault="005B7CDE" w:rsidP="005B7CDE">
      <w:pPr>
        <w:ind w:left="720"/>
      </w:pPr>
      <w:r w:rsidRPr="00A669F2">
        <w:t xml:space="preserve">A commitment control entry made to move budget from one set of </w:t>
      </w:r>
      <w:proofErr w:type="spellStart"/>
      <w:r w:rsidRPr="00A669F2">
        <w:t>chartfields</w:t>
      </w:r>
      <w:proofErr w:type="spellEnd"/>
      <w:r w:rsidRPr="00A669F2">
        <w:t xml:space="preserve"> to another.  Example – a budget transfer is done when a department </w:t>
      </w:r>
      <w:r w:rsidR="009F47A5" w:rsidRPr="00A669F2">
        <w:t>or project does not have enough remaining budget to cover a new expense.  A</w:t>
      </w:r>
      <w:r w:rsidRPr="00A669F2">
        <w:t xml:space="preserve">nother department </w:t>
      </w:r>
      <w:r w:rsidR="009F47A5" w:rsidRPr="00A669F2">
        <w:t xml:space="preserve">with </w:t>
      </w:r>
      <w:r w:rsidRPr="00A669F2">
        <w:t xml:space="preserve">excess budget </w:t>
      </w:r>
      <w:r w:rsidR="009F47A5" w:rsidRPr="00A669F2">
        <w:t>can transfer budget to the department that needs additional budget.</w:t>
      </w:r>
    </w:p>
    <w:bookmarkEnd w:id="2"/>
    <w:p w14:paraId="58922B99" w14:textId="77777777" w:rsidR="00FF4297" w:rsidRPr="0095184D" w:rsidRDefault="00FF4297" w:rsidP="000A143B">
      <w:pPr>
        <w:pStyle w:val="Heading2"/>
      </w:pPr>
      <w:r w:rsidRPr="0095184D">
        <w:lastRenderedPageBreak/>
        <w:t>GL Transaction Detail</w:t>
      </w:r>
      <w:r w:rsidR="00245583" w:rsidRPr="0095184D">
        <w:t xml:space="preserve"> Report Sources</w:t>
      </w:r>
    </w:p>
    <w:p w14:paraId="7A9F6FEF" w14:textId="51B294A6" w:rsidR="00D94900" w:rsidRPr="0095184D" w:rsidRDefault="00245583" w:rsidP="00245583">
      <w:pPr>
        <w:ind w:left="720"/>
      </w:pPr>
      <w:r w:rsidRPr="0095184D">
        <w:t>The GL Transaction Detail Report</w:t>
      </w:r>
      <w:r w:rsidR="00430049">
        <w:t>*</w:t>
      </w:r>
      <w:r w:rsidR="00B9701F">
        <w:t>*</w:t>
      </w:r>
      <w:r w:rsidRPr="0095184D">
        <w:t xml:space="preserve"> show</w:t>
      </w:r>
      <w:r w:rsidR="000A143B">
        <w:t>s</w:t>
      </w:r>
      <w:r w:rsidRPr="0095184D">
        <w:t xml:space="preserve"> detailed transactions by </w:t>
      </w:r>
      <w:proofErr w:type="spellStart"/>
      <w:r w:rsidRPr="0095184D">
        <w:t>chartfield</w:t>
      </w:r>
      <w:proofErr w:type="spellEnd"/>
      <w:r w:rsidRPr="0095184D">
        <w:t xml:space="preserve">.  </w:t>
      </w:r>
      <w:r w:rsidR="00D94900" w:rsidRPr="0095184D">
        <w:t>Each</w:t>
      </w:r>
      <w:r w:rsidRPr="0095184D">
        <w:t xml:space="preserve"> source will </w:t>
      </w:r>
      <w:r w:rsidR="00D94900" w:rsidRPr="0095184D">
        <w:t>identify the specific database where the transaction originated or what kind of transaction it is</w:t>
      </w:r>
      <w:r w:rsidR="00636D7E" w:rsidRPr="0095184D">
        <w:t xml:space="preserve"> by department</w:t>
      </w:r>
      <w:r w:rsidR="00D94900" w:rsidRPr="0095184D">
        <w:t>.</w:t>
      </w:r>
    </w:p>
    <w:p w14:paraId="51961E7B" w14:textId="77777777" w:rsidR="00245583" w:rsidRPr="0095184D" w:rsidRDefault="00D94900" w:rsidP="00245583">
      <w:pPr>
        <w:ind w:left="720"/>
      </w:pPr>
      <w:r w:rsidRPr="0095184D">
        <w:t xml:space="preserve"> </w:t>
      </w:r>
      <w:r w:rsidR="00245583" w:rsidRPr="0095184D"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15"/>
        <w:gridCol w:w="3585"/>
        <w:gridCol w:w="659"/>
        <w:gridCol w:w="3671"/>
      </w:tblGrid>
      <w:tr w:rsidR="0095184D" w:rsidRPr="0095184D" w14:paraId="04A3F3C8" w14:textId="77777777" w:rsidTr="00D2721F">
        <w:tc>
          <w:tcPr>
            <w:tcW w:w="715" w:type="dxa"/>
          </w:tcPr>
          <w:p w14:paraId="071C3BDD" w14:textId="77777777" w:rsidR="00D2721F" w:rsidRPr="0095184D" w:rsidRDefault="00D2721F" w:rsidP="00245583">
            <w:r w:rsidRPr="0095184D">
              <w:t xml:space="preserve">AG </w:t>
            </w:r>
          </w:p>
        </w:tc>
        <w:tc>
          <w:tcPr>
            <w:tcW w:w="3599" w:type="dxa"/>
          </w:tcPr>
          <w:p w14:paraId="61314554" w14:textId="526689A1" w:rsidR="00D2721F" w:rsidRPr="0095184D" w:rsidRDefault="00D2721F" w:rsidP="00245583">
            <w:proofErr w:type="spellStart"/>
            <w:r w:rsidRPr="0095184D">
              <w:t>Agilon</w:t>
            </w:r>
            <w:proofErr w:type="spellEnd"/>
            <w:r w:rsidR="00703C99">
              <w:t xml:space="preserve"> Gift Recording System</w:t>
            </w:r>
          </w:p>
        </w:tc>
        <w:tc>
          <w:tcPr>
            <w:tcW w:w="631" w:type="dxa"/>
          </w:tcPr>
          <w:p w14:paraId="3A3DA2A0" w14:textId="77777777" w:rsidR="00D2721F" w:rsidRPr="0095184D" w:rsidRDefault="00D2721F" w:rsidP="00245583">
            <w:r w:rsidRPr="0095184D">
              <w:t>AM</w:t>
            </w:r>
          </w:p>
        </w:tc>
        <w:tc>
          <w:tcPr>
            <w:tcW w:w="3685" w:type="dxa"/>
          </w:tcPr>
          <w:p w14:paraId="6994984F" w14:textId="77777777" w:rsidR="00D2721F" w:rsidRPr="0095184D" w:rsidRDefault="00D2721F" w:rsidP="00245583">
            <w:r w:rsidRPr="0095184D">
              <w:t>Asset Management</w:t>
            </w:r>
          </w:p>
        </w:tc>
      </w:tr>
      <w:tr w:rsidR="0095184D" w:rsidRPr="0095184D" w14:paraId="0B96C8BB" w14:textId="77777777" w:rsidTr="00D2721F">
        <w:tc>
          <w:tcPr>
            <w:tcW w:w="715" w:type="dxa"/>
          </w:tcPr>
          <w:p w14:paraId="20CBF468" w14:textId="77777777" w:rsidR="00D2721F" w:rsidRPr="0095184D" w:rsidRDefault="00D2721F" w:rsidP="00245583">
            <w:r w:rsidRPr="0095184D">
              <w:t>AP</w:t>
            </w:r>
          </w:p>
        </w:tc>
        <w:tc>
          <w:tcPr>
            <w:tcW w:w="3599" w:type="dxa"/>
          </w:tcPr>
          <w:p w14:paraId="4B6C0ED3" w14:textId="77777777" w:rsidR="00D2721F" w:rsidRPr="0095184D" w:rsidRDefault="00D2721F" w:rsidP="00245583">
            <w:r w:rsidRPr="0095184D">
              <w:t>Accounts Payable</w:t>
            </w:r>
          </w:p>
        </w:tc>
        <w:tc>
          <w:tcPr>
            <w:tcW w:w="631" w:type="dxa"/>
          </w:tcPr>
          <w:p w14:paraId="0B8194B7" w14:textId="77777777" w:rsidR="00D2721F" w:rsidRPr="0095184D" w:rsidRDefault="00D2721F" w:rsidP="00245583">
            <w:r w:rsidRPr="0095184D">
              <w:t>CNR</w:t>
            </w:r>
          </w:p>
        </w:tc>
        <w:tc>
          <w:tcPr>
            <w:tcW w:w="3685" w:type="dxa"/>
          </w:tcPr>
          <w:p w14:paraId="0532DEB7" w14:textId="77777777" w:rsidR="00D2721F" w:rsidRPr="0095184D" w:rsidRDefault="00D2721F" w:rsidP="00245583">
            <w:r w:rsidRPr="0095184D">
              <w:t xml:space="preserve">Concur Expense Reports &amp; </w:t>
            </w:r>
            <w:proofErr w:type="spellStart"/>
            <w:r w:rsidRPr="0095184D">
              <w:t>Pcard</w:t>
            </w:r>
            <w:proofErr w:type="spellEnd"/>
          </w:p>
        </w:tc>
      </w:tr>
      <w:tr w:rsidR="0095184D" w:rsidRPr="0095184D" w14:paraId="099ED05D" w14:textId="77777777" w:rsidTr="00D2721F">
        <w:tc>
          <w:tcPr>
            <w:tcW w:w="715" w:type="dxa"/>
          </w:tcPr>
          <w:p w14:paraId="329F74E4" w14:textId="77777777" w:rsidR="00D2721F" w:rsidRPr="0095184D" w:rsidRDefault="00D2721F" w:rsidP="00245583">
            <w:r w:rsidRPr="0095184D">
              <w:t>EX</w:t>
            </w:r>
          </w:p>
        </w:tc>
        <w:tc>
          <w:tcPr>
            <w:tcW w:w="3599" w:type="dxa"/>
          </w:tcPr>
          <w:p w14:paraId="2A542931" w14:textId="77777777" w:rsidR="00D2721F" w:rsidRPr="0095184D" w:rsidRDefault="00D2721F" w:rsidP="00245583">
            <w:r w:rsidRPr="0095184D">
              <w:t>Legacy Peoplesoft Expense Reports</w:t>
            </w:r>
          </w:p>
        </w:tc>
        <w:tc>
          <w:tcPr>
            <w:tcW w:w="631" w:type="dxa"/>
          </w:tcPr>
          <w:p w14:paraId="79BD18E2" w14:textId="77777777" w:rsidR="00D2721F" w:rsidRPr="0095184D" w:rsidRDefault="00D2721F" w:rsidP="00245583">
            <w:r w:rsidRPr="0095184D">
              <w:t>HCM</w:t>
            </w:r>
          </w:p>
        </w:tc>
        <w:tc>
          <w:tcPr>
            <w:tcW w:w="3685" w:type="dxa"/>
          </w:tcPr>
          <w:p w14:paraId="66709F5E" w14:textId="77777777" w:rsidR="00D2721F" w:rsidRPr="0095184D" w:rsidRDefault="00D2721F" w:rsidP="00245583">
            <w:r w:rsidRPr="0095184D">
              <w:t>Payroll</w:t>
            </w:r>
          </w:p>
        </w:tc>
      </w:tr>
      <w:tr w:rsidR="0095184D" w:rsidRPr="0095184D" w14:paraId="1245E8A1" w14:textId="77777777" w:rsidTr="00D2721F">
        <w:tc>
          <w:tcPr>
            <w:tcW w:w="715" w:type="dxa"/>
          </w:tcPr>
          <w:p w14:paraId="2CAC32E3" w14:textId="77777777" w:rsidR="00D2721F" w:rsidRPr="0095184D" w:rsidRDefault="00D2721F" w:rsidP="00245583">
            <w:r w:rsidRPr="0095184D">
              <w:t>INT</w:t>
            </w:r>
          </w:p>
        </w:tc>
        <w:tc>
          <w:tcPr>
            <w:tcW w:w="3599" w:type="dxa"/>
          </w:tcPr>
          <w:p w14:paraId="652903A8" w14:textId="30CE7360" w:rsidR="00D2721F" w:rsidRPr="0095184D" w:rsidRDefault="00D2721F" w:rsidP="00245583">
            <w:proofErr w:type="spellStart"/>
            <w:r w:rsidRPr="0095184D">
              <w:t>Datatel</w:t>
            </w:r>
            <w:proofErr w:type="spellEnd"/>
            <w:r w:rsidR="00703C99">
              <w:t xml:space="preserve"> Legacy Student Financials &amp; Gift System</w:t>
            </w:r>
          </w:p>
        </w:tc>
        <w:tc>
          <w:tcPr>
            <w:tcW w:w="631" w:type="dxa"/>
          </w:tcPr>
          <w:p w14:paraId="717E3206" w14:textId="77777777" w:rsidR="00D2721F" w:rsidRPr="0095184D" w:rsidRDefault="00D2721F" w:rsidP="00245583">
            <w:r w:rsidRPr="0095184D">
              <w:t>SF</w:t>
            </w:r>
          </w:p>
        </w:tc>
        <w:tc>
          <w:tcPr>
            <w:tcW w:w="3685" w:type="dxa"/>
          </w:tcPr>
          <w:p w14:paraId="115202E6" w14:textId="77777777" w:rsidR="00D2721F" w:rsidRPr="0095184D" w:rsidRDefault="00D2721F" w:rsidP="00245583">
            <w:r w:rsidRPr="0095184D">
              <w:t>Student Financials</w:t>
            </w:r>
          </w:p>
        </w:tc>
      </w:tr>
      <w:tr w:rsidR="0095184D" w:rsidRPr="0095184D" w14:paraId="62DF68EB" w14:textId="77777777" w:rsidTr="00D2721F">
        <w:tc>
          <w:tcPr>
            <w:tcW w:w="715" w:type="dxa"/>
          </w:tcPr>
          <w:p w14:paraId="1EFA2F5F" w14:textId="77777777" w:rsidR="00D2721F" w:rsidRPr="0095184D" w:rsidRDefault="00D2721F" w:rsidP="00245583">
            <w:r w:rsidRPr="0095184D">
              <w:t>TN</w:t>
            </w:r>
          </w:p>
        </w:tc>
        <w:tc>
          <w:tcPr>
            <w:tcW w:w="3599" w:type="dxa"/>
          </w:tcPr>
          <w:p w14:paraId="7EF822E7" w14:textId="02AD684E" w:rsidR="00D2721F" w:rsidRPr="0095184D" w:rsidRDefault="00D2721F" w:rsidP="00245583">
            <w:proofErr w:type="spellStart"/>
            <w:r w:rsidRPr="0095184D">
              <w:t>Touchnet</w:t>
            </w:r>
            <w:proofErr w:type="spellEnd"/>
            <w:r w:rsidR="00703C99">
              <w:t xml:space="preserve"> Credit Card Payments</w:t>
            </w:r>
          </w:p>
        </w:tc>
        <w:tc>
          <w:tcPr>
            <w:tcW w:w="631" w:type="dxa"/>
          </w:tcPr>
          <w:p w14:paraId="105FFE7E" w14:textId="77777777" w:rsidR="00D2721F" w:rsidRPr="0095184D" w:rsidRDefault="00D2721F" w:rsidP="00245583">
            <w:r w:rsidRPr="0095184D">
              <w:t>UTX</w:t>
            </w:r>
          </w:p>
        </w:tc>
        <w:tc>
          <w:tcPr>
            <w:tcW w:w="3685" w:type="dxa"/>
          </w:tcPr>
          <w:p w14:paraId="4DB2E3F1" w14:textId="2B4129B7" w:rsidR="00D2721F" w:rsidRPr="0095184D" w:rsidRDefault="00D2721F" w:rsidP="00245583">
            <w:r w:rsidRPr="0095184D">
              <w:t>University Ticket</w:t>
            </w:r>
            <w:r w:rsidR="00703C99">
              <w:t>ing System</w:t>
            </w:r>
          </w:p>
        </w:tc>
      </w:tr>
      <w:tr w:rsidR="0095184D" w:rsidRPr="0095184D" w14:paraId="4215836A" w14:textId="77777777" w:rsidTr="00D2721F">
        <w:tc>
          <w:tcPr>
            <w:tcW w:w="715" w:type="dxa"/>
          </w:tcPr>
          <w:p w14:paraId="2FC8ED71" w14:textId="77777777" w:rsidR="00D2721F" w:rsidRPr="0095184D" w:rsidRDefault="00D2721F" w:rsidP="00245583">
            <w:r w:rsidRPr="0095184D">
              <w:t>AV</w:t>
            </w:r>
          </w:p>
        </w:tc>
        <w:tc>
          <w:tcPr>
            <w:tcW w:w="3599" w:type="dxa"/>
          </w:tcPr>
          <w:p w14:paraId="4A49DB5F" w14:textId="771D6BAA" w:rsidR="00D2721F" w:rsidRPr="0095184D" w:rsidRDefault="00D2721F" w:rsidP="00245583">
            <w:r w:rsidRPr="0095184D">
              <w:t>Audience View</w:t>
            </w:r>
            <w:r w:rsidR="00703C99">
              <w:t xml:space="preserve"> Ticketing System</w:t>
            </w:r>
          </w:p>
        </w:tc>
        <w:tc>
          <w:tcPr>
            <w:tcW w:w="631" w:type="dxa"/>
          </w:tcPr>
          <w:p w14:paraId="0E71A4C1" w14:textId="77777777" w:rsidR="00D2721F" w:rsidRPr="0095184D" w:rsidRDefault="00D2721F" w:rsidP="00245583">
            <w:r w:rsidRPr="0095184D">
              <w:t>YBF</w:t>
            </w:r>
          </w:p>
        </w:tc>
        <w:tc>
          <w:tcPr>
            <w:tcW w:w="3685" w:type="dxa"/>
          </w:tcPr>
          <w:p w14:paraId="38CA4067" w14:textId="77777777" w:rsidR="00D2721F" w:rsidRPr="0095184D" w:rsidRDefault="00D2721F" w:rsidP="00245583">
            <w:r w:rsidRPr="0095184D">
              <w:t>Year End Balance Forwards</w:t>
            </w:r>
          </w:p>
        </w:tc>
      </w:tr>
      <w:tr w:rsidR="00D2721F" w:rsidRPr="0095184D" w14:paraId="59CC1C67" w14:textId="77777777" w:rsidTr="00D2721F">
        <w:tc>
          <w:tcPr>
            <w:tcW w:w="715" w:type="dxa"/>
          </w:tcPr>
          <w:p w14:paraId="4E5F44BC" w14:textId="77777777" w:rsidR="00D2721F" w:rsidRPr="0095184D" w:rsidRDefault="00D2721F" w:rsidP="00245583">
            <w:r w:rsidRPr="0095184D">
              <w:t>010-999</w:t>
            </w:r>
          </w:p>
        </w:tc>
        <w:tc>
          <w:tcPr>
            <w:tcW w:w="3599" w:type="dxa"/>
          </w:tcPr>
          <w:p w14:paraId="37DCC839" w14:textId="77777777" w:rsidR="00D2721F" w:rsidRPr="0095184D" w:rsidRDefault="00D2721F" w:rsidP="00245583">
            <w:r w:rsidRPr="0095184D">
              <w:t>Accounting Department Journal Entries</w:t>
            </w:r>
          </w:p>
        </w:tc>
        <w:tc>
          <w:tcPr>
            <w:tcW w:w="631" w:type="dxa"/>
          </w:tcPr>
          <w:p w14:paraId="2BFA0A13" w14:textId="77777777" w:rsidR="00D2721F" w:rsidRPr="0095184D" w:rsidRDefault="00D2721F" w:rsidP="00245583">
            <w:r w:rsidRPr="0095184D">
              <w:t>ONL</w:t>
            </w:r>
          </w:p>
        </w:tc>
        <w:tc>
          <w:tcPr>
            <w:tcW w:w="3685" w:type="dxa"/>
          </w:tcPr>
          <w:p w14:paraId="32614CCD" w14:textId="77777777" w:rsidR="00D2721F" w:rsidRPr="0095184D" w:rsidRDefault="00D2721F" w:rsidP="00245583">
            <w:r w:rsidRPr="0095184D">
              <w:t>Accounting Department Journal Entries</w:t>
            </w:r>
          </w:p>
        </w:tc>
      </w:tr>
    </w:tbl>
    <w:p w14:paraId="066A83A6" w14:textId="51B4F943" w:rsidR="00D2721F" w:rsidRPr="0095184D" w:rsidRDefault="00B9701F" w:rsidP="00245583">
      <w:pPr>
        <w:ind w:left="720"/>
      </w:pPr>
      <w:r>
        <w:t>*</w:t>
      </w:r>
      <w:r w:rsidR="00430049">
        <w:t>*</w:t>
      </w:r>
      <w:r>
        <w:t>Peoplesoft navigation: Main Menu/Chapman Customizations/Reports/Finance/GL Transaction Details</w:t>
      </w:r>
    </w:p>
    <w:p w14:paraId="3F491DD1" w14:textId="77777777" w:rsidR="00D2721F" w:rsidRPr="0095184D" w:rsidRDefault="00D2721F" w:rsidP="00D2721F"/>
    <w:p w14:paraId="1B7001A7" w14:textId="240D8450" w:rsidR="00955DF3" w:rsidRPr="0095184D" w:rsidRDefault="002541C3" w:rsidP="000A143B">
      <w:pPr>
        <w:pStyle w:val="Heading2"/>
      </w:pPr>
      <w:r w:rsidRPr="0095184D">
        <w:t>Workflow</w:t>
      </w:r>
    </w:p>
    <w:p w14:paraId="14192FA8" w14:textId="41978F47" w:rsidR="002541C3" w:rsidRPr="0095184D" w:rsidRDefault="002541C3" w:rsidP="002541C3">
      <w:pPr>
        <w:ind w:left="720"/>
      </w:pPr>
      <w:r w:rsidRPr="0095184D">
        <w:t xml:space="preserve">Workflow is the approval process in Peoplesoft and Concur which is driven by dollar amounts and supervisor/management approval.  </w:t>
      </w:r>
      <w:r w:rsidR="007F52BD">
        <w:t xml:space="preserve">Detailed workflow approver listing by </w:t>
      </w:r>
      <w:r w:rsidRPr="0095184D">
        <w:t xml:space="preserve">division </w:t>
      </w:r>
      <w:r w:rsidR="007F52BD">
        <w:t xml:space="preserve">is available on the Peoplesoft report PO Approval Assignment.  </w:t>
      </w:r>
    </w:p>
    <w:p w14:paraId="220ED91D" w14:textId="66A18B63" w:rsidR="002541C3" w:rsidRDefault="002541C3" w:rsidP="00FF4297"/>
    <w:p w14:paraId="586FE886" w14:textId="087869D8" w:rsidR="001E0590" w:rsidRDefault="001E0590" w:rsidP="00DE46C3">
      <w:pPr>
        <w:pStyle w:val="Heading2"/>
      </w:pPr>
      <w:r>
        <w:t>Vendor/Suppliers</w:t>
      </w:r>
    </w:p>
    <w:p w14:paraId="1D5C78F6" w14:textId="4420B552" w:rsidR="001E0590" w:rsidRDefault="001E0590" w:rsidP="001E0590">
      <w:pPr>
        <w:ind w:left="720"/>
      </w:pPr>
      <w:r>
        <w:t>A person or company paid for goods and services.  Vendors/Suppliers are setup in Peoplesoft with a unique vendor identification number with relevant payment information and tax information – name, address, phone, tax identification numbers</w:t>
      </w:r>
    </w:p>
    <w:p w14:paraId="47BAFE85" w14:textId="77777777" w:rsidR="00DE46C3" w:rsidRDefault="00DE46C3" w:rsidP="00DE46C3">
      <w:pPr>
        <w:pStyle w:val="Heading2"/>
      </w:pPr>
    </w:p>
    <w:p w14:paraId="36E0B867" w14:textId="6BE83EB8" w:rsidR="007500EA" w:rsidRDefault="007500EA" w:rsidP="00DE46C3">
      <w:pPr>
        <w:pStyle w:val="Heading2"/>
      </w:pPr>
      <w:r>
        <w:t>Requisition</w:t>
      </w:r>
    </w:p>
    <w:p w14:paraId="2819DD72" w14:textId="6BA42047" w:rsidR="007500EA" w:rsidRDefault="007500EA" w:rsidP="00FF4297">
      <w:r>
        <w:tab/>
      </w:r>
      <w:r w:rsidR="006152D8">
        <w:t>Peoplesoft document created by the end-user to request a purchase order</w:t>
      </w:r>
    </w:p>
    <w:p w14:paraId="37D185DF" w14:textId="77777777" w:rsidR="00DE46C3" w:rsidRDefault="00DE46C3" w:rsidP="00DE46C3">
      <w:pPr>
        <w:pStyle w:val="Heading2"/>
      </w:pPr>
    </w:p>
    <w:p w14:paraId="5FFA55C5" w14:textId="6BC320E3" w:rsidR="007500EA" w:rsidRDefault="007500EA" w:rsidP="00DE46C3">
      <w:pPr>
        <w:pStyle w:val="Heading2"/>
      </w:pPr>
      <w:r>
        <w:t>Purchase Order</w:t>
      </w:r>
    </w:p>
    <w:p w14:paraId="1883864C" w14:textId="2A7F849D" w:rsidR="006152D8" w:rsidRDefault="006152D8" w:rsidP="00FF4297">
      <w:r>
        <w:tab/>
        <w:t xml:space="preserve">An official document created by the information from a requisition and issued to the seller.    </w:t>
      </w:r>
    </w:p>
    <w:p w14:paraId="178A1513" w14:textId="77777777" w:rsidR="00DE46C3" w:rsidRDefault="00DE46C3" w:rsidP="00DE46C3">
      <w:pPr>
        <w:pStyle w:val="Heading2"/>
      </w:pPr>
    </w:p>
    <w:p w14:paraId="39F39D1E" w14:textId="7C099AF1" w:rsidR="007500EA" w:rsidRDefault="007500EA" w:rsidP="00DE46C3">
      <w:pPr>
        <w:pStyle w:val="Heading2"/>
      </w:pPr>
      <w:r>
        <w:t>Voucher</w:t>
      </w:r>
    </w:p>
    <w:p w14:paraId="5BFB89C3" w14:textId="77A3E4D5" w:rsidR="006152D8" w:rsidRDefault="006152D8" w:rsidP="006152D8">
      <w:pPr>
        <w:ind w:left="720"/>
      </w:pPr>
      <w:r>
        <w:t xml:space="preserve">Peoplesoft document </w:t>
      </w:r>
      <w:proofErr w:type="gramStart"/>
      <w:r>
        <w:t>entered into</w:t>
      </w:r>
      <w:proofErr w:type="gramEnd"/>
      <w:r>
        <w:t xml:space="preserve"> Accounts Payable used to process payment to vendors.  The source can be a vendor invoice or a request from the end user requesting payment on a Non-PO Payment Request form</w:t>
      </w:r>
      <w:r w:rsidR="00DE46C3">
        <w:t xml:space="preserve"> or Payment Request</w:t>
      </w:r>
      <w:r>
        <w:t xml:space="preserve">. </w:t>
      </w:r>
    </w:p>
    <w:p w14:paraId="5A688663" w14:textId="77777777" w:rsidR="00DE46C3" w:rsidRDefault="00DE46C3" w:rsidP="00DE46C3">
      <w:pPr>
        <w:pStyle w:val="Heading2"/>
      </w:pPr>
    </w:p>
    <w:p w14:paraId="7E14E802" w14:textId="275747C1" w:rsidR="007500EA" w:rsidRDefault="007500EA" w:rsidP="00DE46C3">
      <w:pPr>
        <w:pStyle w:val="Heading2"/>
      </w:pPr>
      <w:r>
        <w:t>Non-PO Payment Request</w:t>
      </w:r>
    </w:p>
    <w:p w14:paraId="283EBED6" w14:textId="6A259A4B" w:rsidR="006152D8" w:rsidRDefault="006152D8" w:rsidP="00FF4297">
      <w:r>
        <w:tab/>
        <w:t xml:space="preserve">A manual </w:t>
      </w:r>
      <w:r w:rsidR="00DE46C3">
        <w:t xml:space="preserve">pdf </w:t>
      </w:r>
      <w:r>
        <w:t>form created by the end-user to request payment to a vendor/supplier.</w:t>
      </w:r>
    </w:p>
    <w:p w14:paraId="32362DDF" w14:textId="77777777" w:rsidR="00DE46C3" w:rsidRDefault="00DE46C3" w:rsidP="00DE46C3">
      <w:pPr>
        <w:pStyle w:val="Heading2"/>
      </w:pPr>
    </w:p>
    <w:p w14:paraId="6161A19D" w14:textId="76F8648B" w:rsidR="007500EA" w:rsidRDefault="007500EA" w:rsidP="00DE46C3">
      <w:pPr>
        <w:pStyle w:val="Heading2"/>
      </w:pPr>
      <w:r>
        <w:t>Payment Request</w:t>
      </w:r>
    </w:p>
    <w:p w14:paraId="5BBD9E0C" w14:textId="7AD58DFD" w:rsidR="001E0590" w:rsidRDefault="006152D8" w:rsidP="001E0590">
      <w:r>
        <w:tab/>
        <w:t xml:space="preserve">Online version of the </w:t>
      </w:r>
      <w:r w:rsidR="001E0590">
        <w:t>Non-PO Payment Request form</w:t>
      </w:r>
    </w:p>
    <w:sectPr w:rsidR="001E0590" w:rsidSect="00430049">
      <w:headerReference w:type="default" r:id="rId7"/>
      <w:footerReference w:type="default" r:id="rId8"/>
      <w:pgSz w:w="12240" w:h="15840"/>
      <w:pgMar w:top="1440" w:right="1440" w:bottom="1440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F4875" w14:textId="77777777" w:rsidR="00D62CFC" w:rsidRDefault="00D62CFC" w:rsidP="006A5A00">
      <w:r>
        <w:separator/>
      </w:r>
    </w:p>
  </w:endnote>
  <w:endnote w:type="continuationSeparator" w:id="0">
    <w:p w14:paraId="2728ADA9" w14:textId="77777777" w:rsidR="00D62CFC" w:rsidRDefault="00D62CFC" w:rsidP="006A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0A05A" w14:textId="6834884A" w:rsidR="006A5A00" w:rsidRDefault="006A5A00">
    <w:pPr>
      <w:tabs>
        <w:tab w:val="center" w:pos="4550"/>
        <w:tab w:val="left" w:pos="5818"/>
      </w:tabs>
      <w:ind w:right="260"/>
      <w:jc w:val="right"/>
      <w:rPr>
        <w:color w:val="323E4F" w:themeColor="text2" w:themeShade="BF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425D78CB" w14:textId="5A5D4335" w:rsidR="006A5A00" w:rsidRDefault="006A5A00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323E4F" w:themeColor="text2" w:themeShade="BF"/>
        <w:sz w:val="24"/>
        <w:szCs w:val="24"/>
      </w:rPr>
      <w:t>Version 20190</w:t>
    </w:r>
    <w:r w:rsidR="00D75884">
      <w:rPr>
        <w:color w:val="323E4F" w:themeColor="text2" w:themeShade="BF"/>
        <w:sz w:val="24"/>
        <w:szCs w:val="24"/>
      </w:rPr>
      <w:t>917</w:t>
    </w:r>
  </w:p>
  <w:p w14:paraId="5F7D8785" w14:textId="43EC7B84" w:rsidR="006A5A00" w:rsidRDefault="006A5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40ACC" w14:textId="77777777" w:rsidR="00D62CFC" w:rsidRDefault="00D62CFC" w:rsidP="006A5A00">
      <w:r>
        <w:separator/>
      </w:r>
    </w:p>
  </w:footnote>
  <w:footnote w:type="continuationSeparator" w:id="0">
    <w:p w14:paraId="0E45A713" w14:textId="77777777" w:rsidR="00D62CFC" w:rsidRDefault="00D62CFC" w:rsidP="006A5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67C74" w14:textId="316B65C4" w:rsidR="006A5A00" w:rsidRPr="006A5A00" w:rsidRDefault="006A5A00">
    <w:pPr>
      <w:pStyle w:val="Header"/>
      <w:rPr>
        <w:sz w:val="28"/>
        <w:szCs w:val="28"/>
      </w:rPr>
    </w:pPr>
    <w:r w:rsidRPr="006A5A00">
      <w:rPr>
        <w:sz w:val="28"/>
        <w:szCs w:val="28"/>
      </w:rPr>
      <w:t xml:space="preserve">Financial Services Reporting Terms and Definitions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5D02"/>
    <w:multiLevelType w:val="hybridMultilevel"/>
    <w:tmpl w:val="DE20F5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F38F0"/>
    <w:multiLevelType w:val="hybridMultilevel"/>
    <w:tmpl w:val="132601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15EE7"/>
    <w:multiLevelType w:val="hybridMultilevel"/>
    <w:tmpl w:val="032E68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41122"/>
    <w:multiLevelType w:val="hybridMultilevel"/>
    <w:tmpl w:val="04349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647B8"/>
    <w:multiLevelType w:val="hybridMultilevel"/>
    <w:tmpl w:val="38E6594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1963F4"/>
    <w:multiLevelType w:val="hybridMultilevel"/>
    <w:tmpl w:val="A4DAA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97"/>
    <w:rsid w:val="000201BE"/>
    <w:rsid w:val="000218E4"/>
    <w:rsid w:val="00051BEC"/>
    <w:rsid w:val="0007718B"/>
    <w:rsid w:val="000A143B"/>
    <w:rsid w:val="000C22DE"/>
    <w:rsid w:val="00122E1D"/>
    <w:rsid w:val="001E0590"/>
    <w:rsid w:val="00202843"/>
    <w:rsid w:val="00245583"/>
    <w:rsid w:val="002541C3"/>
    <w:rsid w:val="002D7A50"/>
    <w:rsid w:val="0033079E"/>
    <w:rsid w:val="003C1239"/>
    <w:rsid w:val="00430049"/>
    <w:rsid w:val="00440F29"/>
    <w:rsid w:val="00475B3C"/>
    <w:rsid w:val="004C5DDA"/>
    <w:rsid w:val="004F643C"/>
    <w:rsid w:val="00511DFE"/>
    <w:rsid w:val="005B7CDE"/>
    <w:rsid w:val="005C77B4"/>
    <w:rsid w:val="006152D8"/>
    <w:rsid w:val="006246AA"/>
    <w:rsid w:val="00636D7E"/>
    <w:rsid w:val="00644130"/>
    <w:rsid w:val="00670613"/>
    <w:rsid w:val="006A5A00"/>
    <w:rsid w:val="00703C99"/>
    <w:rsid w:val="00721C8F"/>
    <w:rsid w:val="007500EA"/>
    <w:rsid w:val="007F52BD"/>
    <w:rsid w:val="00810E7E"/>
    <w:rsid w:val="008737CD"/>
    <w:rsid w:val="0095184D"/>
    <w:rsid w:val="00955DF3"/>
    <w:rsid w:val="009F47A5"/>
    <w:rsid w:val="00A669F2"/>
    <w:rsid w:val="00AC418A"/>
    <w:rsid w:val="00B84188"/>
    <w:rsid w:val="00B9701F"/>
    <w:rsid w:val="00C70A7B"/>
    <w:rsid w:val="00D22137"/>
    <w:rsid w:val="00D2721F"/>
    <w:rsid w:val="00D32E73"/>
    <w:rsid w:val="00D6021F"/>
    <w:rsid w:val="00D62CFC"/>
    <w:rsid w:val="00D75884"/>
    <w:rsid w:val="00D842F6"/>
    <w:rsid w:val="00D94900"/>
    <w:rsid w:val="00D970FC"/>
    <w:rsid w:val="00DE46C3"/>
    <w:rsid w:val="00E5006E"/>
    <w:rsid w:val="00EB27CF"/>
    <w:rsid w:val="00F47D6E"/>
    <w:rsid w:val="00F54114"/>
    <w:rsid w:val="00F65C49"/>
    <w:rsid w:val="00F677E4"/>
    <w:rsid w:val="00FF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6674E"/>
  <w15:chartTrackingRefBased/>
  <w15:docId w15:val="{C3FA420E-0B09-4174-BA0A-12577A9F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429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8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18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7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061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51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18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A5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A0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A5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A0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Yoshimizu, Leslie</dc:creator>
  <cp:keywords/>
  <dc:description/>
  <cp:lastModifiedBy>Yoshimizu, Leslie</cp:lastModifiedBy>
  <cp:revision>5</cp:revision>
  <dcterms:created xsi:type="dcterms:W3CDTF">2019-09-17T17:41:00Z</dcterms:created>
  <dcterms:modified xsi:type="dcterms:W3CDTF">2019-09-17T19:45:00Z</dcterms:modified>
</cp:coreProperties>
</file>