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2D4B7" w14:textId="77777777" w:rsidR="0060235B" w:rsidRPr="00580014" w:rsidRDefault="007E712E" w:rsidP="007E712E">
      <w:pPr>
        <w:jc w:val="center"/>
        <w:rPr>
          <w:rFonts w:ascii="Times New Roman" w:hAnsi="Times New Roman" w:cs="Times New Roman"/>
          <w:b/>
          <w:sz w:val="28"/>
          <w:szCs w:val="28"/>
        </w:rPr>
      </w:pPr>
      <w:r w:rsidRPr="00580014">
        <w:rPr>
          <w:rFonts w:ascii="Times New Roman" w:hAnsi="Times New Roman" w:cs="Times New Roman"/>
          <w:b/>
          <w:sz w:val="28"/>
          <w:szCs w:val="28"/>
        </w:rPr>
        <w:t xml:space="preserve">Who’s Holding Out? </w:t>
      </w:r>
    </w:p>
    <w:p w14:paraId="17E761C6" w14:textId="77777777" w:rsidR="00D4101D" w:rsidRPr="00580014" w:rsidRDefault="007E712E" w:rsidP="007E712E">
      <w:pPr>
        <w:jc w:val="center"/>
        <w:rPr>
          <w:rFonts w:ascii="Times New Roman" w:hAnsi="Times New Roman" w:cs="Times New Roman"/>
          <w:b/>
          <w:sz w:val="28"/>
          <w:szCs w:val="28"/>
        </w:rPr>
      </w:pPr>
      <w:r w:rsidRPr="00580014">
        <w:rPr>
          <w:rFonts w:ascii="Times New Roman" w:hAnsi="Times New Roman" w:cs="Times New Roman"/>
          <w:b/>
          <w:sz w:val="28"/>
          <w:szCs w:val="28"/>
        </w:rPr>
        <w:t xml:space="preserve">An Experimental Study of </w:t>
      </w:r>
      <w:r w:rsidR="00BE60C1" w:rsidRPr="00580014">
        <w:rPr>
          <w:rFonts w:ascii="Times New Roman" w:hAnsi="Times New Roman" w:cs="Times New Roman"/>
          <w:b/>
          <w:sz w:val="28"/>
          <w:szCs w:val="28"/>
        </w:rPr>
        <w:t xml:space="preserve">the Benefits and Burdens of </w:t>
      </w:r>
      <w:r w:rsidRPr="00580014">
        <w:rPr>
          <w:rFonts w:ascii="Times New Roman" w:hAnsi="Times New Roman" w:cs="Times New Roman"/>
          <w:b/>
          <w:sz w:val="28"/>
          <w:szCs w:val="28"/>
        </w:rPr>
        <w:t>Eminent Domain</w:t>
      </w:r>
      <w:r w:rsidR="008C0DED" w:rsidRPr="00580014">
        <w:rPr>
          <w:rStyle w:val="FootnoteReference"/>
          <w:rFonts w:ascii="Times New Roman" w:hAnsi="Times New Roman" w:cs="Times New Roman"/>
          <w:b/>
          <w:sz w:val="28"/>
          <w:szCs w:val="28"/>
        </w:rPr>
        <w:footnoteReference w:id="1"/>
      </w:r>
    </w:p>
    <w:p w14:paraId="229EB4FC" w14:textId="77777777" w:rsidR="007E712E" w:rsidRPr="00580014" w:rsidRDefault="007E712E" w:rsidP="007E712E">
      <w:pPr>
        <w:jc w:val="center"/>
        <w:rPr>
          <w:rFonts w:ascii="Times New Roman" w:hAnsi="Times New Roman" w:cs="Times New Roman"/>
          <w:sz w:val="24"/>
          <w:szCs w:val="24"/>
        </w:rPr>
      </w:pPr>
    </w:p>
    <w:p w14:paraId="3D91E909" w14:textId="77777777" w:rsidR="007E712E" w:rsidRPr="00580014" w:rsidRDefault="008C0DED" w:rsidP="007E712E">
      <w:pPr>
        <w:contextualSpacing/>
        <w:jc w:val="center"/>
        <w:rPr>
          <w:rFonts w:ascii="Times New Roman" w:hAnsi="Times New Roman" w:cs="Times New Roman"/>
          <w:sz w:val="24"/>
          <w:szCs w:val="24"/>
        </w:rPr>
      </w:pPr>
      <w:r w:rsidRPr="00580014">
        <w:rPr>
          <w:rFonts w:ascii="Times New Roman" w:hAnsi="Times New Roman" w:cs="Times New Roman"/>
          <w:i/>
          <w:sz w:val="24"/>
          <w:szCs w:val="24"/>
        </w:rPr>
        <w:t xml:space="preserve">By </w:t>
      </w:r>
      <w:r w:rsidR="007E712E" w:rsidRPr="00580014">
        <w:rPr>
          <w:rFonts w:ascii="Times New Roman" w:hAnsi="Times New Roman" w:cs="Times New Roman"/>
          <w:sz w:val="24"/>
          <w:szCs w:val="24"/>
        </w:rPr>
        <w:t>Abel M. Winn</w:t>
      </w:r>
      <w:r w:rsidRPr="00580014">
        <w:rPr>
          <w:rFonts w:ascii="Times New Roman" w:hAnsi="Times New Roman" w:cs="Times New Roman"/>
          <w:sz w:val="24"/>
          <w:szCs w:val="24"/>
        </w:rPr>
        <w:t xml:space="preserve"> </w:t>
      </w:r>
      <w:r w:rsidRPr="00580014">
        <w:rPr>
          <w:rFonts w:ascii="Times New Roman" w:hAnsi="Times New Roman" w:cs="Times New Roman"/>
          <w:i/>
          <w:sz w:val="24"/>
          <w:szCs w:val="24"/>
        </w:rPr>
        <w:t>and</w:t>
      </w:r>
      <w:r w:rsidRPr="00580014">
        <w:rPr>
          <w:rFonts w:ascii="Times New Roman" w:hAnsi="Times New Roman" w:cs="Times New Roman"/>
          <w:sz w:val="24"/>
          <w:szCs w:val="24"/>
        </w:rPr>
        <w:t xml:space="preserve"> </w:t>
      </w:r>
      <w:r w:rsidR="007E712E" w:rsidRPr="00580014">
        <w:rPr>
          <w:rFonts w:ascii="Times New Roman" w:hAnsi="Times New Roman" w:cs="Times New Roman"/>
          <w:sz w:val="24"/>
          <w:szCs w:val="24"/>
        </w:rPr>
        <w:t xml:space="preserve">Matthew </w:t>
      </w:r>
      <w:r w:rsidRPr="00580014">
        <w:rPr>
          <w:rFonts w:ascii="Times New Roman" w:hAnsi="Times New Roman" w:cs="Times New Roman"/>
          <w:sz w:val="24"/>
          <w:szCs w:val="24"/>
        </w:rPr>
        <w:t xml:space="preserve">W. </w:t>
      </w:r>
      <w:r w:rsidR="007E712E" w:rsidRPr="00580014">
        <w:rPr>
          <w:rFonts w:ascii="Times New Roman" w:hAnsi="Times New Roman" w:cs="Times New Roman"/>
          <w:sz w:val="24"/>
          <w:szCs w:val="24"/>
        </w:rPr>
        <w:t>McCarter</w:t>
      </w:r>
    </w:p>
    <w:p w14:paraId="21A5CEAB" w14:textId="77777777" w:rsidR="007E712E" w:rsidRPr="00580014" w:rsidRDefault="007E712E" w:rsidP="007E712E">
      <w:pPr>
        <w:rPr>
          <w:rFonts w:ascii="Times New Roman" w:hAnsi="Times New Roman" w:cs="Times New Roman"/>
          <w:b/>
          <w:sz w:val="24"/>
          <w:szCs w:val="24"/>
        </w:rPr>
      </w:pPr>
    </w:p>
    <w:p w14:paraId="70F64C23" w14:textId="77777777" w:rsidR="00737B45" w:rsidRPr="00580014" w:rsidRDefault="00737B45" w:rsidP="00737B45">
      <w:pPr>
        <w:jc w:val="center"/>
        <w:rPr>
          <w:rFonts w:ascii="Times New Roman" w:hAnsi="Times New Roman" w:cs="Times New Roman"/>
          <w:sz w:val="24"/>
          <w:szCs w:val="24"/>
        </w:rPr>
      </w:pPr>
      <w:r w:rsidRPr="00580014">
        <w:rPr>
          <w:rFonts w:ascii="Times New Roman" w:hAnsi="Times New Roman" w:cs="Times New Roman"/>
          <w:b/>
          <w:sz w:val="24"/>
          <w:szCs w:val="24"/>
        </w:rPr>
        <w:t>Abstract</w:t>
      </w:r>
    </w:p>
    <w:p w14:paraId="33D3C8A3" w14:textId="77777777" w:rsidR="00D03491" w:rsidRPr="00580014" w:rsidRDefault="00C03A78" w:rsidP="002E1BF2">
      <w:pPr>
        <w:spacing w:line="360" w:lineRule="auto"/>
        <w:jc w:val="both"/>
        <w:rPr>
          <w:rFonts w:ascii="Times New Roman" w:hAnsi="Times New Roman" w:cs="Times New Roman"/>
          <w:sz w:val="24"/>
          <w:szCs w:val="24"/>
        </w:rPr>
        <w:sectPr w:rsidR="00D03491" w:rsidRPr="00580014">
          <w:footerReference w:type="default" r:id="rId8"/>
          <w:footnotePr>
            <w:numFmt w:val="chicago"/>
          </w:footnotePr>
          <w:pgSz w:w="12240" w:h="15840"/>
          <w:pgMar w:top="1440" w:right="1440" w:bottom="1440" w:left="1440" w:header="720" w:footer="720" w:gutter="0"/>
          <w:cols w:space="720"/>
          <w:docGrid w:linePitch="360"/>
        </w:sectPr>
      </w:pPr>
      <w:r w:rsidRPr="00580014">
        <w:rPr>
          <w:rFonts w:ascii="Times New Roman" w:hAnsi="Times New Roman" w:cs="Times New Roman"/>
          <w:sz w:val="24"/>
          <w:szCs w:val="24"/>
        </w:rPr>
        <w:t xml:space="preserve">Eminent domain is widely considered a necessary tool to avoid </w:t>
      </w:r>
      <w:r w:rsidR="00DE73D0" w:rsidRPr="00580014">
        <w:rPr>
          <w:rFonts w:ascii="Times New Roman" w:hAnsi="Times New Roman" w:cs="Times New Roman"/>
          <w:sz w:val="24"/>
          <w:szCs w:val="24"/>
        </w:rPr>
        <w:t>seller</w:t>
      </w:r>
      <w:r w:rsidRPr="00580014">
        <w:rPr>
          <w:rFonts w:ascii="Times New Roman" w:hAnsi="Times New Roman" w:cs="Times New Roman"/>
          <w:sz w:val="24"/>
          <w:szCs w:val="24"/>
        </w:rPr>
        <w:t xml:space="preserve"> holdout and ensure efficient land assembly.</w:t>
      </w:r>
      <w:r w:rsidR="00737B45" w:rsidRPr="00580014">
        <w:rPr>
          <w:rFonts w:ascii="Times New Roman" w:hAnsi="Times New Roman" w:cs="Times New Roman"/>
          <w:sz w:val="24"/>
          <w:szCs w:val="24"/>
        </w:rPr>
        <w:t xml:space="preserve">  </w:t>
      </w:r>
      <w:r w:rsidRPr="00580014">
        <w:rPr>
          <w:rFonts w:ascii="Times New Roman" w:hAnsi="Times New Roman" w:cs="Times New Roman"/>
          <w:sz w:val="24"/>
          <w:szCs w:val="24"/>
        </w:rPr>
        <w:t>We conduct a</w:t>
      </w:r>
      <w:r w:rsidR="00737B45" w:rsidRPr="00580014">
        <w:rPr>
          <w:rFonts w:ascii="Times New Roman" w:hAnsi="Times New Roman" w:cs="Times New Roman"/>
          <w:sz w:val="24"/>
          <w:szCs w:val="24"/>
        </w:rPr>
        <w:t xml:space="preserve"> s</w:t>
      </w:r>
      <w:r w:rsidR="006B3F47" w:rsidRPr="00580014">
        <w:rPr>
          <w:rFonts w:ascii="Times New Roman" w:hAnsi="Times New Roman" w:cs="Times New Roman"/>
          <w:sz w:val="24"/>
          <w:szCs w:val="24"/>
        </w:rPr>
        <w:t>eries of laboratory experiments</w:t>
      </w:r>
      <w:r w:rsidRPr="00580014">
        <w:rPr>
          <w:rFonts w:ascii="Times New Roman" w:hAnsi="Times New Roman" w:cs="Times New Roman"/>
          <w:sz w:val="24"/>
          <w:szCs w:val="24"/>
        </w:rPr>
        <w:t xml:space="preserve"> that challenge this conventional wisdom.</w:t>
      </w:r>
      <w:r w:rsidR="00737B45" w:rsidRPr="00580014">
        <w:rPr>
          <w:rFonts w:ascii="Times New Roman" w:hAnsi="Times New Roman" w:cs="Times New Roman"/>
          <w:sz w:val="24"/>
          <w:szCs w:val="24"/>
        </w:rPr>
        <w:t xml:space="preserve"> </w:t>
      </w:r>
      <w:r w:rsidRPr="00580014">
        <w:rPr>
          <w:rFonts w:ascii="Times New Roman" w:hAnsi="Times New Roman" w:cs="Times New Roman"/>
          <w:sz w:val="24"/>
          <w:szCs w:val="24"/>
        </w:rPr>
        <w:t xml:space="preserve"> We find that </w:t>
      </w:r>
      <w:r w:rsidR="00E74B6C" w:rsidRPr="00580014">
        <w:rPr>
          <w:rFonts w:ascii="Times New Roman" w:hAnsi="Times New Roman" w:cs="Times New Roman"/>
          <w:sz w:val="24"/>
          <w:szCs w:val="24"/>
        </w:rPr>
        <w:t>when there is no competition and no eminent domain</w:t>
      </w:r>
      <w:r w:rsidR="009F1B1F" w:rsidRPr="00580014">
        <w:rPr>
          <w:rFonts w:ascii="Times New Roman" w:hAnsi="Times New Roman" w:cs="Times New Roman"/>
          <w:sz w:val="24"/>
          <w:szCs w:val="24"/>
        </w:rPr>
        <w:t>,</w:t>
      </w:r>
      <w:r w:rsidR="00E74B6C" w:rsidRPr="00580014">
        <w:rPr>
          <w:rFonts w:ascii="Times New Roman" w:hAnsi="Times New Roman" w:cs="Times New Roman"/>
          <w:sz w:val="24"/>
          <w:szCs w:val="24"/>
        </w:rPr>
        <w:t xml:space="preserve"> land assembly suffers from costly delay and failed assembly, </w:t>
      </w:r>
      <w:r w:rsidR="009F1B1F" w:rsidRPr="00580014">
        <w:rPr>
          <w:rFonts w:ascii="Times New Roman" w:hAnsi="Times New Roman" w:cs="Times New Roman"/>
          <w:sz w:val="24"/>
          <w:szCs w:val="24"/>
        </w:rPr>
        <w:t xml:space="preserve">resulting in </w:t>
      </w:r>
      <w:r w:rsidR="00AD507F" w:rsidRPr="00580014">
        <w:rPr>
          <w:rFonts w:ascii="Times New Roman" w:hAnsi="Times New Roman" w:cs="Times New Roman"/>
          <w:sz w:val="24"/>
          <w:szCs w:val="24"/>
        </w:rPr>
        <w:t>participants</w:t>
      </w:r>
      <w:r w:rsidR="00E74B6C" w:rsidRPr="00580014">
        <w:rPr>
          <w:rFonts w:ascii="Times New Roman" w:hAnsi="Times New Roman" w:cs="Times New Roman"/>
          <w:sz w:val="24"/>
          <w:szCs w:val="24"/>
        </w:rPr>
        <w:t xml:space="preserve"> </w:t>
      </w:r>
      <w:r w:rsidR="009F1B1F" w:rsidRPr="00580014">
        <w:rPr>
          <w:rFonts w:ascii="Times New Roman" w:hAnsi="Times New Roman" w:cs="Times New Roman"/>
          <w:sz w:val="24"/>
          <w:szCs w:val="24"/>
        </w:rPr>
        <w:t xml:space="preserve">losing </w:t>
      </w:r>
      <w:r w:rsidR="00E74B6C" w:rsidRPr="00580014">
        <w:rPr>
          <w:rFonts w:ascii="Times New Roman" w:hAnsi="Times New Roman" w:cs="Times New Roman"/>
          <w:sz w:val="24"/>
          <w:szCs w:val="24"/>
        </w:rPr>
        <w:t>18.1% of the available surplus</w:t>
      </w:r>
      <w:r w:rsidR="00702741" w:rsidRPr="00580014">
        <w:rPr>
          <w:rFonts w:ascii="Times New Roman" w:hAnsi="Times New Roman" w:cs="Times New Roman"/>
          <w:sz w:val="24"/>
          <w:szCs w:val="24"/>
        </w:rPr>
        <w:t>.</w:t>
      </w:r>
      <w:r w:rsidR="00E74B6C" w:rsidRPr="00580014">
        <w:rPr>
          <w:rFonts w:ascii="Times New Roman" w:hAnsi="Times New Roman" w:cs="Times New Roman"/>
          <w:sz w:val="24"/>
          <w:szCs w:val="24"/>
        </w:rPr>
        <w:t xml:space="preserve">  </w:t>
      </w:r>
      <w:r w:rsidR="00AD507F" w:rsidRPr="00580014">
        <w:rPr>
          <w:rFonts w:ascii="Times New Roman" w:hAnsi="Times New Roman" w:cs="Times New Roman"/>
          <w:sz w:val="24"/>
          <w:szCs w:val="24"/>
        </w:rPr>
        <w:t>Much of this delay is due to low offers from the buyers rather than strategic holdout among sellers.  Introducing weak competition in the form of a less valuable substitute parcel of land reduces delay by 35.7% and virtually eliminates assembly failure, so that only 11.5% of the surplus is lost.  W</w:t>
      </w:r>
      <w:r w:rsidR="00E74B6C" w:rsidRPr="00580014">
        <w:rPr>
          <w:rFonts w:ascii="Times New Roman" w:hAnsi="Times New Roman" w:cs="Times New Roman"/>
          <w:sz w:val="24"/>
          <w:szCs w:val="24"/>
        </w:rPr>
        <w:t xml:space="preserve">hen buyers </w:t>
      </w:r>
      <w:r w:rsidR="00AD507F" w:rsidRPr="00580014">
        <w:rPr>
          <w:rFonts w:ascii="Times New Roman" w:hAnsi="Times New Roman" w:cs="Times New Roman"/>
          <w:sz w:val="24"/>
          <w:szCs w:val="24"/>
        </w:rPr>
        <w:t>can</w:t>
      </w:r>
      <w:r w:rsidR="00E74B6C" w:rsidRPr="00580014">
        <w:rPr>
          <w:rFonts w:ascii="Times New Roman" w:hAnsi="Times New Roman" w:cs="Times New Roman"/>
          <w:sz w:val="24"/>
          <w:szCs w:val="24"/>
        </w:rPr>
        <w:t xml:space="preserve"> </w:t>
      </w:r>
      <w:r w:rsidR="00AD507F" w:rsidRPr="00580014">
        <w:rPr>
          <w:rFonts w:ascii="Times New Roman" w:hAnsi="Times New Roman" w:cs="Times New Roman"/>
          <w:sz w:val="24"/>
          <w:szCs w:val="24"/>
        </w:rPr>
        <w:t xml:space="preserve">exercise eminent domain the participants lose 18.6% of the surplus.  This loss comes from spending money to influence the fair market price and forcing sellers to sell even when they value the property more than the buyer.  </w:t>
      </w:r>
    </w:p>
    <w:p w14:paraId="5EC4DAAC" w14:textId="77777777" w:rsidR="00B31E08" w:rsidRPr="00580014" w:rsidRDefault="00E87B73">
      <w:pPr>
        <w:spacing w:line="360" w:lineRule="auto"/>
        <w:rPr>
          <w:rFonts w:ascii="Times New Roman" w:hAnsi="Times New Roman" w:cs="Times New Roman"/>
          <w:b/>
          <w:sz w:val="24"/>
          <w:szCs w:val="24"/>
        </w:rPr>
      </w:pPr>
      <w:r w:rsidRPr="00580014">
        <w:rPr>
          <w:rFonts w:ascii="Times New Roman" w:hAnsi="Times New Roman" w:cs="Times New Roman"/>
          <w:b/>
          <w:sz w:val="24"/>
          <w:szCs w:val="24"/>
        </w:rPr>
        <w:lastRenderedPageBreak/>
        <w:t>I.</w:t>
      </w:r>
      <w:r w:rsidRPr="00580014">
        <w:rPr>
          <w:rFonts w:ascii="Times New Roman" w:hAnsi="Times New Roman" w:cs="Times New Roman"/>
          <w:sz w:val="24"/>
          <w:szCs w:val="24"/>
        </w:rPr>
        <w:t xml:space="preserve"> </w:t>
      </w:r>
      <w:r w:rsidRPr="00580014">
        <w:rPr>
          <w:rFonts w:ascii="Times New Roman" w:hAnsi="Times New Roman" w:cs="Times New Roman"/>
          <w:b/>
          <w:sz w:val="24"/>
          <w:szCs w:val="24"/>
        </w:rPr>
        <w:t>Introduction</w:t>
      </w:r>
    </w:p>
    <w:p w14:paraId="4105E0EF" w14:textId="5AD7B122" w:rsidR="00B31E08" w:rsidRDefault="00252C02">
      <w:pPr>
        <w:spacing w:line="480" w:lineRule="auto"/>
        <w:jc w:val="both"/>
        <w:rPr>
          <w:rFonts w:ascii="Times New Roman" w:hAnsi="Times New Roman" w:cs="Times New Roman"/>
          <w:sz w:val="24"/>
          <w:szCs w:val="24"/>
        </w:rPr>
      </w:pPr>
      <w:r w:rsidRPr="00580014">
        <w:rPr>
          <w:rFonts w:ascii="Times New Roman" w:hAnsi="Times New Roman" w:cs="Times New Roman"/>
          <w:sz w:val="24"/>
          <w:szCs w:val="24"/>
        </w:rPr>
        <w:tab/>
      </w:r>
      <w:r w:rsidR="00893B61" w:rsidRPr="00580014">
        <w:rPr>
          <w:rFonts w:ascii="Times New Roman" w:hAnsi="Times New Roman" w:cs="Times New Roman"/>
          <w:sz w:val="24"/>
          <w:szCs w:val="24"/>
        </w:rPr>
        <w:t xml:space="preserve">Most economists </w:t>
      </w:r>
      <w:r w:rsidR="00FD16DD" w:rsidRPr="00580014">
        <w:rPr>
          <w:rFonts w:ascii="Times New Roman" w:hAnsi="Times New Roman" w:cs="Times New Roman"/>
          <w:sz w:val="24"/>
          <w:szCs w:val="24"/>
        </w:rPr>
        <w:t>consider</w:t>
      </w:r>
      <w:r w:rsidR="00676F56" w:rsidRPr="00580014">
        <w:rPr>
          <w:rFonts w:ascii="Times New Roman" w:hAnsi="Times New Roman" w:cs="Times New Roman"/>
          <w:sz w:val="24"/>
          <w:szCs w:val="24"/>
        </w:rPr>
        <w:t xml:space="preserve"> </w:t>
      </w:r>
      <w:r w:rsidR="00737B45" w:rsidRPr="00580014">
        <w:rPr>
          <w:rFonts w:ascii="Times New Roman" w:hAnsi="Times New Roman" w:cs="Times New Roman"/>
          <w:sz w:val="24"/>
          <w:szCs w:val="24"/>
        </w:rPr>
        <w:t xml:space="preserve">seller </w:t>
      </w:r>
      <w:r w:rsidR="00B42140" w:rsidRPr="00580014">
        <w:rPr>
          <w:rFonts w:ascii="Times New Roman" w:hAnsi="Times New Roman" w:cs="Times New Roman"/>
          <w:sz w:val="24"/>
          <w:szCs w:val="24"/>
        </w:rPr>
        <w:t xml:space="preserve">holdout </w:t>
      </w:r>
      <w:r w:rsidR="00676F56" w:rsidRPr="00580014">
        <w:rPr>
          <w:rFonts w:ascii="Times New Roman" w:hAnsi="Times New Roman" w:cs="Times New Roman"/>
          <w:sz w:val="24"/>
          <w:szCs w:val="24"/>
        </w:rPr>
        <w:t>an inevitable</w:t>
      </w:r>
      <w:r w:rsidR="00893B61" w:rsidRPr="00580014">
        <w:rPr>
          <w:rFonts w:ascii="Times New Roman" w:hAnsi="Times New Roman" w:cs="Times New Roman"/>
          <w:sz w:val="24"/>
          <w:szCs w:val="24"/>
        </w:rPr>
        <w:t xml:space="preserve"> </w:t>
      </w:r>
      <w:r w:rsidR="00676F56" w:rsidRPr="00580014">
        <w:rPr>
          <w:rFonts w:ascii="Times New Roman" w:hAnsi="Times New Roman" w:cs="Times New Roman"/>
          <w:sz w:val="24"/>
          <w:szCs w:val="24"/>
        </w:rPr>
        <w:t xml:space="preserve">and intractable problem </w:t>
      </w:r>
      <w:r w:rsidR="00893B61" w:rsidRPr="00580014">
        <w:rPr>
          <w:rFonts w:ascii="Times New Roman" w:hAnsi="Times New Roman" w:cs="Times New Roman"/>
          <w:sz w:val="24"/>
          <w:szCs w:val="24"/>
        </w:rPr>
        <w:t xml:space="preserve">that </w:t>
      </w:r>
      <w:r w:rsidR="00FD16DD" w:rsidRPr="00580014">
        <w:rPr>
          <w:rFonts w:ascii="Times New Roman" w:hAnsi="Times New Roman" w:cs="Times New Roman"/>
          <w:sz w:val="24"/>
          <w:szCs w:val="24"/>
        </w:rPr>
        <w:t>prevents</w:t>
      </w:r>
      <w:r w:rsidR="00893B61" w:rsidRPr="00580014">
        <w:rPr>
          <w:rFonts w:ascii="Times New Roman" w:hAnsi="Times New Roman" w:cs="Times New Roman"/>
          <w:sz w:val="24"/>
          <w:szCs w:val="24"/>
        </w:rPr>
        <w:t xml:space="preserve"> </w:t>
      </w:r>
      <w:r w:rsidR="00FD16DD" w:rsidRPr="00580014">
        <w:rPr>
          <w:rFonts w:ascii="Times New Roman" w:hAnsi="Times New Roman" w:cs="Times New Roman"/>
          <w:sz w:val="24"/>
          <w:szCs w:val="24"/>
        </w:rPr>
        <w:t>efficient</w:t>
      </w:r>
      <w:r w:rsidR="00676F56" w:rsidRPr="00580014">
        <w:rPr>
          <w:rFonts w:ascii="Times New Roman" w:hAnsi="Times New Roman" w:cs="Times New Roman"/>
          <w:sz w:val="24"/>
          <w:szCs w:val="24"/>
        </w:rPr>
        <w:t xml:space="preserve"> land assembly (Calabresi and Malamed 1972,</w:t>
      </w:r>
      <w:r w:rsidR="00135FB3" w:rsidRPr="00580014">
        <w:rPr>
          <w:rFonts w:ascii="Times New Roman" w:hAnsi="Times New Roman" w:cs="Times New Roman"/>
          <w:sz w:val="24"/>
          <w:szCs w:val="24"/>
        </w:rPr>
        <w:t xml:space="preserve"> Bittlingmayer 1988,</w:t>
      </w:r>
      <w:r w:rsidR="00676F56" w:rsidRPr="00580014">
        <w:rPr>
          <w:rFonts w:ascii="Times New Roman" w:hAnsi="Times New Roman" w:cs="Times New Roman"/>
          <w:sz w:val="24"/>
          <w:szCs w:val="24"/>
        </w:rPr>
        <w:t xml:space="preserve"> Cohen 1991</w:t>
      </w:r>
      <w:r w:rsidR="00FA1909" w:rsidRPr="00580014">
        <w:rPr>
          <w:rFonts w:ascii="Times New Roman" w:hAnsi="Times New Roman" w:cs="Times New Roman"/>
          <w:sz w:val="24"/>
          <w:szCs w:val="24"/>
        </w:rPr>
        <w:t>,</w:t>
      </w:r>
      <w:r w:rsidR="00676F56" w:rsidRPr="00580014">
        <w:rPr>
          <w:rFonts w:ascii="Times New Roman" w:hAnsi="Times New Roman" w:cs="Times New Roman"/>
          <w:sz w:val="24"/>
          <w:szCs w:val="24"/>
        </w:rPr>
        <w:t xml:space="preserve"> Epstein 1992</w:t>
      </w:r>
      <w:r w:rsidR="00B42140" w:rsidRPr="00580014">
        <w:rPr>
          <w:rFonts w:ascii="Times New Roman" w:hAnsi="Times New Roman" w:cs="Times New Roman"/>
          <w:sz w:val="24"/>
          <w:szCs w:val="24"/>
        </w:rPr>
        <w:t>,</w:t>
      </w:r>
      <w:r w:rsidR="00676F56" w:rsidRPr="00580014">
        <w:rPr>
          <w:rFonts w:ascii="Times New Roman" w:hAnsi="Times New Roman" w:cs="Times New Roman"/>
          <w:sz w:val="24"/>
          <w:szCs w:val="24"/>
        </w:rPr>
        <w:t xml:space="preserve"> 1993</w:t>
      </w:r>
      <w:r w:rsidR="00FA1909" w:rsidRPr="00580014">
        <w:rPr>
          <w:rFonts w:ascii="Times New Roman" w:hAnsi="Times New Roman" w:cs="Times New Roman"/>
          <w:sz w:val="24"/>
          <w:szCs w:val="24"/>
        </w:rPr>
        <w:t xml:space="preserve"> and Menezes and Pitchford 20</w:t>
      </w:r>
      <w:r w:rsidR="006F70B7">
        <w:rPr>
          <w:rFonts w:ascii="Times New Roman" w:hAnsi="Times New Roman" w:cs="Times New Roman"/>
          <w:sz w:val="24"/>
          <w:szCs w:val="24"/>
        </w:rPr>
        <w:t>0</w:t>
      </w:r>
      <w:r w:rsidR="00FA1909" w:rsidRPr="00580014">
        <w:rPr>
          <w:rFonts w:ascii="Times New Roman" w:hAnsi="Times New Roman" w:cs="Times New Roman"/>
          <w:sz w:val="24"/>
          <w:szCs w:val="24"/>
        </w:rPr>
        <w:t>4</w:t>
      </w:r>
      <w:r w:rsidR="00676F56" w:rsidRPr="00580014">
        <w:rPr>
          <w:rFonts w:ascii="Times New Roman" w:hAnsi="Times New Roman" w:cs="Times New Roman"/>
          <w:sz w:val="24"/>
          <w:szCs w:val="24"/>
        </w:rPr>
        <w:t>)</w:t>
      </w:r>
      <w:r w:rsidR="00893B61" w:rsidRPr="00580014">
        <w:rPr>
          <w:rFonts w:ascii="Times New Roman" w:hAnsi="Times New Roman" w:cs="Times New Roman"/>
          <w:sz w:val="24"/>
          <w:szCs w:val="24"/>
        </w:rPr>
        <w:t xml:space="preserve"> </w:t>
      </w:r>
      <w:r w:rsidR="006B3F47" w:rsidRPr="00580014">
        <w:rPr>
          <w:rFonts w:ascii="Times New Roman" w:hAnsi="Times New Roman" w:cs="Times New Roman"/>
          <w:sz w:val="24"/>
          <w:szCs w:val="24"/>
        </w:rPr>
        <w:t xml:space="preserve">and </w:t>
      </w:r>
      <w:r w:rsidR="00FD16DD" w:rsidRPr="00580014">
        <w:rPr>
          <w:rFonts w:ascii="Times New Roman" w:hAnsi="Times New Roman" w:cs="Times New Roman"/>
          <w:sz w:val="24"/>
          <w:szCs w:val="24"/>
        </w:rPr>
        <w:t>provides strong</w:t>
      </w:r>
      <w:r w:rsidR="006B3F47" w:rsidRPr="00580014">
        <w:rPr>
          <w:rFonts w:ascii="Times New Roman" w:hAnsi="Times New Roman" w:cs="Times New Roman"/>
          <w:sz w:val="24"/>
          <w:szCs w:val="24"/>
        </w:rPr>
        <w:t xml:space="preserve"> </w:t>
      </w:r>
      <w:r w:rsidR="00D901D7" w:rsidRPr="00580014">
        <w:rPr>
          <w:rFonts w:ascii="Times New Roman" w:hAnsi="Times New Roman" w:cs="Times New Roman"/>
          <w:sz w:val="24"/>
          <w:szCs w:val="24"/>
        </w:rPr>
        <w:t xml:space="preserve">justification for </w:t>
      </w:r>
      <w:r w:rsidR="006B3F47" w:rsidRPr="00580014">
        <w:rPr>
          <w:rFonts w:ascii="Times New Roman" w:hAnsi="Times New Roman" w:cs="Times New Roman"/>
          <w:sz w:val="24"/>
          <w:szCs w:val="24"/>
        </w:rPr>
        <w:t>eminent domain (Allen 2000, Miceli and Sirmans 2007, Rose 2011)</w:t>
      </w:r>
      <w:r w:rsidR="00305193" w:rsidRPr="00580014">
        <w:rPr>
          <w:rFonts w:ascii="Times New Roman" w:hAnsi="Times New Roman" w:cs="Times New Roman"/>
          <w:sz w:val="24"/>
          <w:szCs w:val="24"/>
        </w:rPr>
        <w:t xml:space="preserve">.  </w:t>
      </w:r>
      <w:r w:rsidR="00641A85" w:rsidRPr="00580014">
        <w:rPr>
          <w:rFonts w:ascii="Times New Roman" w:hAnsi="Times New Roman" w:cs="Times New Roman"/>
          <w:sz w:val="24"/>
          <w:szCs w:val="24"/>
        </w:rPr>
        <w:t>Suppose, for example that two landowners with adjoining property each value their own parcel at $100,000 and a buyer wishes to acquire both parcels.  The development that the buyer wishes to undertake is such that both parcels are necessary to his plans.  His maximum willingness-to-pay (WTP) is $0 for either one of the parcels but $250,000 for the pair.</w:t>
      </w:r>
      <w:r w:rsidR="00AA0DD5" w:rsidRPr="00580014">
        <w:rPr>
          <w:rFonts w:ascii="Times New Roman" w:hAnsi="Times New Roman" w:cs="Times New Roman"/>
          <w:sz w:val="24"/>
          <w:szCs w:val="24"/>
        </w:rPr>
        <w:t xml:space="preserve">  This may lead to inefficient assembly because each seller is effectively a monopolist: the refusal of either to sell would thwart the buyer’s development.  Consequently, both sellers are in a position to hold out for a large share of the surplus.  </w:t>
      </w:r>
      <w:r w:rsidR="002603B9">
        <w:rPr>
          <w:rFonts w:ascii="Times New Roman" w:hAnsi="Times New Roman" w:cs="Times New Roman"/>
          <w:sz w:val="24"/>
          <w:szCs w:val="24"/>
        </w:rPr>
        <w:t>Strategic holdout</w:t>
      </w:r>
      <w:r w:rsidR="002603B9" w:rsidRPr="00580014">
        <w:rPr>
          <w:rFonts w:ascii="Times New Roman" w:hAnsi="Times New Roman" w:cs="Times New Roman"/>
          <w:sz w:val="24"/>
          <w:szCs w:val="24"/>
        </w:rPr>
        <w:t xml:space="preserve"> </w:t>
      </w:r>
      <w:r w:rsidR="00AA0DD5" w:rsidRPr="00580014">
        <w:rPr>
          <w:rFonts w:ascii="Times New Roman" w:hAnsi="Times New Roman" w:cs="Times New Roman"/>
          <w:sz w:val="24"/>
          <w:szCs w:val="24"/>
        </w:rPr>
        <w:t xml:space="preserve">can lead to a protracted bargaining process </w:t>
      </w:r>
      <w:r w:rsidR="00E06182">
        <w:rPr>
          <w:rFonts w:ascii="Times New Roman" w:hAnsi="Times New Roman" w:cs="Times New Roman"/>
          <w:sz w:val="24"/>
          <w:szCs w:val="24"/>
        </w:rPr>
        <w:t>causing</w:t>
      </w:r>
      <w:r w:rsidR="00AA0DD5" w:rsidRPr="00580014">
        <w:rPr>
          <w:rFonts w:ascii="Times New Roman" w:hAnsi="Times New Roman" w:cs="Times New Roman"/>
          <w:sz w:val="24"/>
          <w:szCs w:val="24"/>
        </w:rPr>
        <w:t xml:space="preserve"> costly delay in land assembly, or even its outright failure.  This is especially likely if the negotiating parties face uncertainty about one another’s valuations for the land (</w:t>
      </w:r>
      <w:r w:rsidR="00F8782C" w:rsidRPr="00580014">
        <w:rPr>
          <w:rFonts w:ascii="Times New Roman" w:hAnsi="Times New Roman" w:cs="Times New Roman"/>
          <w:sz w:val="24"/>
          <w:szCs w:val="24"/>
        </w:rPr>
        <w:t>Shupp, et al. 2013</w:t>
      </w:r>
      <w:r w:rsidR="00AA0DD5" w:rsidRPr="00580014">
        <w:rPr>
          <w:rFonts w:ascii="Times New Roman" w:hAnsi="Times New Roman" w:cs="Times New Roman"/>
          <w:sz w:val="24"/>
          <w:szCs w:val="24"/>
        </w:rPr>
        <w:t>).</w:t>
      </w:r>
    </w:p>
    <w:p w14:paraId="1993129C" w14:textId="2909641D" w:rsidR="00E06182" w:rsidRPr="005402F3" w:rsidRDefault="00E0618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5402F3">
        <w:rPr>
          <w:rFonts w:ascii="Times New Roman" w:hAnsi="Times New Roman" w:cs="Times New Roman"/>
          <w:sz w:val="24"/>
          <w:szCs w:val="24"/>
        </w:rPr>
        <w:t xml:space="preserve">The holdout problem in land assembly is a special case of </w:t>
      </w:r>
      <w:r w:rsidR="005402F3">
        <w:rPr>
          <w:rFonts w:ascii="Times New Roman" w:hAnsi="Times New Roman" w:cs="Times New Roman"/>
          <w:sz w:val="24"/>
          <w:szCs w:val="24"/>
        </w:rPr>
        <w:t xml:space="preserve">social dilemma termed </w:t>
      </w:r>
      <w:r w:rsidRPr="005402F3">
        <w:rPr>
          <w:rFonts w:ascii="Times New Roman" w:hAnsi="Times New Roman" w:cs="Times New Roman"/>
          <w:sz w:val="24"/>
          <w:szCs w:val="24"/>
        </w:rPr>
        <w:t xml:space="preserve">the tragedy </w:t>
      </w:r>
      <w:r w:rsidR="0035735B" w:rsidRPr="005402F3">
        <w:rPr>
          <w:rFonts w:ascii="Times New Roman" w:hAnsi="Times New Roman" w:cs="Times New Roman"/>
          <w:sz w:val="24"/>
          <w:szCs w:val="24"/>
        </w:rPr>
        <w:t>of the anticommons (Heller 1998, Buchanan and Yoon 2000, Fennell 2004).  An anticommons is</w:t>
      </w:r>
      <w:r w:rsidRPr="005402F3">
        <w:rPr>
          <w:rFonts w:ascii="Times New Roman" w:hAnsi="Times New Roman" w:cs="Times New Roman"/>
          <w:sz w:val="24"/>
          <w:szCs w:val="24"/>
        </w:rPr>
        <w:t xml:space="preserve"> a property regime in which multiple agents have the unilateral right to prevent </w:t>
      </w:r>
      <w:r w:rsidR="0035735B" w:rsidRPr="005402F3">
        <w:rPr>
          <w:rFonts w:ascii="Times New Roman" w:hAnsi="Times New Roman" w:cs="Times New Roman"/>
          <w:sz w:val="24"/>
          <w:szCs w:val="24"/>
        </w:rPr>
        <w:t xml:space="preserve">the use of a resource.  Examples include water rights transfers (Corbin 2011), assembling pharmaceutical patents (Heller and Eisenberg 1998) and assembling contiguous blocks of </w:t>
      </w:r>
      <w:r w:rsidR="005402F3" w:rsidRPr="005402F3">
        <w:rPr>
          <w:rFonts w:ascii="Times New Roman" w:hAnsi="Times New Roman" w:cs="Times New Roman"/>
          <w:sz w:val="24"/>
          <w:szCs w:val="24"/>
        </w:rPr>
        <w:t xml:space="preserve">the </w:t>
      </w:r>
      <w:r w:rsidR="0035735B" w:rsidRPr="005402F3">
        <w:rPr>
          <w:rFonts w:ascii="Times New Roman" w:hAnsi="Times New Roman" w:cs="Times New Roman"/>
          <w:sz w:val="24"/>
          <w:szCs w:val="24"/>
        </w:rPr>
        <w:t>broadcast spectrum (Hazlett</w:t>
      </w:r>
      <w:r w:rsidR="00DC665E" w:rsidRPr="005402F3">
        <w:rPr>
          <w:rFonts w:ascii="Times New Roman" w:hAnsi="Times New Roman" w:cs="Times New Roman"/>
          <w:sz w:val="24"/>
          <w:szCs w:val="24"/>
        </w:rPr>
        <w:t xml:space="preserve"> 2008,</w:t>
      </w:r>
      <w:r w:rsidR="001332C9" w:rsidRPr="005402F3">
        <w:rPr>
          <w:rFonts w:ascii="Times New Roman" w:hAnsi="Times New Roman" w:cs="Times New Roman"/>
          <w:sz w:val="24"/>
          <w:szCs w:val="24"/>
        </w:rPr>
        <w:t xml:space="preserve"> 2014</w:t>
      </w:r>
      <w:r w:rsidR="0035735B" w:rsidRPr="005402F3">
        <w:rPr>
          <w:rFonts w:ascii="Times New Roman" w:hAnsi="Times New Roman" w:cs="Times New Roman"/>
          <w:sz w:val="24"/>
          <w:szCs w:val="24"/>
        </w:rPr>
        <w:t>).  In each case, too many agents with veto power can hinder a resource’s use and reduce economic efficiency.</w:t>
      </w:r>
    </w:p>
    <w:p w14:paraId="3A3D9FB9" w14:textId="450C3DEF" w:rsidR="00B31E08" w:rsidRPr="00580014" w:rsidRDefault="0035735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the case of land assembly</w:t>
      </w:r>
      <w:r w:rsidR="005402F3">
        <w:rPr>
          <w:rFonts w:ascii="Times New Roman" w:hAnsi="Times New Roman" w:cs="Times New Roman"/>
          <w:sz w:val="24"/>
          <w:szCs w:val="24"/>
        </w:rPr>
        <w:t>,</w:t>
      </w:r>
      <w:r>
        <w:rPr>
          <w:rFonts w:ascii="Times New Roman" w:hAnsi="Times New Roman" w:cs="Times New Roman"/>
          <w:sz w:val="24"/>
          <w:szCs w:val="24"/>
        </w:rPr>
        <w:t xml:space="preserve"> e</w:t>
      </w:r>
      <w:r w:rsidR="00AA0DD5" w:rsidRPr="00580014">
        <w:rPr>
          <w:rFonts w:ascii="Times New Roman" w:hAnsi="Times New Roman" w:cs="Times New Roman"/>
          <w:sz w:val="24"/>
          <w:szCs w:val="24"/>
        </w:rPr>
        <w:t xml:space="preserve">minent domain allows the buyer to </w:t>
      </w:r>
      <w:r w:rsidR="00F8782C" w:rsidRPr="00580014">
        <w:rPr>
          <w:rFonts w:ascii="Times New Roman" w:hAnsi="Times New Roman" w:cs="Times New Roman"/>
          <w:sz w:val="24"/>
          <w:szCs w:val="24"/>
        </w:rPr>
        <w:t xml:space="preserve">eliminate delay and ensure successful assembly by forcing a recalcitrant landowner to sell her property. However, it is </w:t>
      </w:r>
      <w:r w:rsidR="00F8782C" w:rsidRPr="00580014">
        <w:rPr>
          <w:rFonts w:ascii="Times New Roman" w:hAnsi="Times New Roman" w:cs="Times New Roman"/>
          <w:sz w:val="24"/>
          <w:szCs w:val="24"/>
        </w:rPr>
        <w:lastRenderedPageBreak/>
        <w:t xml:space="preserve">important </w:t>
      </w:r>
      <w:r w:rsidR="00E06182">
        <w:rPr>
          <w:rFonts w:ascii="Times New Roman" w:hAnsi="Times New Roman" w:cs="Times New Roman"/>
          <w:sz w:val="24"/>
          <w:szCs w:val="24"/>
        </w:rPr>
        <w:t>to face the</w:t>
      </w:r>
      <w:r w:rsidR="00F8782C" w:rsidRPr="00580014">
        <w:rPr>
          <w:rFonts w:ascii="Times New Roman" w:hAnsi="Times New Roman" w:cs="Times New Roman"/>
          <w:sz w:val="24"/>
          <w:szCs w:val="24"/>
        </w:rPr>
        <w:t xml:space="preserve"> fact that eminent domain may </w:t>
      </w:r>
      <w:r w:rsidR="00F469CF" w:rsidRPr="00580014">
        <w:rPr>
          <w:rFonts w:ascii="Times New Roman" w:hAnsi="Times New Roman" w:cs="Times New Roman"/>
          <w:sz w:val="24"/>
          <w:szCs w:val="24"/>
        </w:rPr>
        <w:t>cause its own inefficiencies from two sources: inefficient assembly and influence costs. Inefficient assembly occurs where the sum of the fragmented owners’ value for their land exceeds the value of the buyer but they are forced to sell through eminent domain.  As Munch (1976) points out, the danger of under-assembly through market mechanisms is mirrored by the danger of over-assembly through eminent domain (see also O’Flaherty, 1994; Miceli and Segerson, 2007; Shavell, 2010).</w:t>
      </w:r>
    </w:p>
    <w:p w14:paraId="692546C2" w14:textId="77777777" w:rsidR="00B31E08" w:rsidRPr="00580014" w:rsidRDefault="00F469CF">
      <w:pPr>
        <w:spacing w:line="480" w:lineRule="auto"/>
        <w:jc w:val="both"/>
        <w:rPr>
          <w:rFonts w:ascii="Times New Roman" w:hAnsi="Times New Roman" w:cs="Times New Roman"/>
          <w:sz w:val="24"/>
          <w:szCs w:val="24"/>
        </w:rPr>
      </w:pPr>
      <w:r w:rsidRPr="00580014">
        <w:rPr>
          <w:rFonts w:ascii="Times New Roman" w:hAnsi="Times New Roman" w:cs="Times New Roman"/>
          <w:sz w:val="24"/>
          <w:szCs w:val="24"/>
        </w:rPr>
        <w:tab/>
        <w:t xml:space="preserve">The threat of inefficient assembly is not idle speculation.  In the case of </w:t>
      </w:r>
      <w:r w:rsidRPr="00580014">
        <w:rPr>
          <w:rFonts w:ascii="Times New Roman" w:hAnsi="Times New Roman" w:cs="Times New Roman"/>
          <w:i/>
          <w:sz w:val="24"/>
          <w:szCs w:val="24"/>
        </w:rPr>
        <w:t>Kelo v. New London</w:t>
      </w:r>
      <w:r w:rsidRPr="00580014">
        <w:rPr>
          <w:rFonts w:ascii="Times New Roman" w:hAnsi="Times New Roman" w:cs="Times New Roman"/>
          <w:sz w:val="24"/>
          <w:szCs w:val="24"/>
        </w:rPr>
        <w:t xml:space="preserve"> the Supreme Court upheld the transfer of private land to a private developer.  The main beneficiary was to be Pfizer, Inc., which would receive a $300 million research center.  The case was decided in 2005 and seven families were evicted from their property, their houses demolished or moved offsite.  Yet the development group never managed to raise financing and gave up the project in 2008.  Pfizer left the city of New London the following year.  As of 2014 the land where Ms. Kelo and her six neighbors lived remained an undeveloped field.</w:t>
      </w:r>
    </w:p>
    <w:p w14:paraId="5618766A" w14:textId="77777777" w:rsidR="00B31E08" w:rsidRPr="00580014" w:rsidRDefault="00F469CF">
      <w:pPr>
        <w:spacing w:line="480" w:lineRule="auto"/>
        <w:ind w:firstLine="720"/>
        <w:jc w:val="both"/>
        <w:rPr>
          <w:rFonts w:ascii="Times New Roman" w:hAnsi="Times New Roman" w:cs="Times New Roman"/>
          <w:sz w:val="24"/>
          <w:szCs w:val="24"/>
        </w:rPr>
      </w:pPr>
      <w:r w:rsidRPr="00580014">
        <w:rPr>
          <w:rFonts w:ascii="Times New Roman" w:hAnsi="Times New Roman" w:cs="Times New Roman"/>
          <w:sz w:val="24"/>
          <w:szCs w:val="24"/>
        </w:rPr>
        <w:t xml:space="preserve">Eminent domain also imposes influence costs in determining the “fair market value” of the land; i.e., the price that is to be paid to the owner.  This price is determined through a legal process in which both the buyer and seller(s) must, at the very least, obtain counsel and pay for separate and independent appraisals of the property.  Both sides improve their chances of a favorable price by expending more resources on the legal process relative to their opponent.  </w:t>
      </w:r>
    </w:p>
    <w:p w14:paraId="0383969B" w14:textId="77777777" w:rsidR="00B31E08" w:rsidRPr="00580014" w:rsidRDefault="00F469CF">
      <w:pPr>
        <w:spacing w:line="480" w:lineRule="auto"/>
        <w:ind w:firstLine="720"/>
        <w:jc w:val="both"/>
        <w:rPr>
          <w:rFonts w:ascii="Times New Roman" w:hAnsi="Times New Roman" w:cs="Times New Roman"/>
          <w:sz w:val="24"/>
          <w:szCs w:val="24"/>
        </w:rPr>
      </w:pPr>
      <w:r w:rsidRPr="00580014">
        <w:rPr>
          <w:rFonts w:ascii="Times New Roman" w:hAnsi="Times New Roman" w:cs="Times New Roman"/>
          <w:sz w:val="24"/>
          <w:szCs w:val="24"/>
        </w:rPr>
        <w:t>The result of the legal process is that a substantial fraction of surplus may be expended through attempts to influence the final price.  In 2013, for instance, the city of Modesto, California used eminent domain proceedings to purchase a strip of property from one resident for $120,000.  The city spent $180,000 in legal fees (Valine 2013).</w:t>
      </w:r>
      <w:r w:rsidR="007E06DD" w:rsidRPr="00580014">
        <w:rPr>
          <w:rFonts w:ascii="Times New Roman" w:hAnsi="Times New Roman" w:cs="Times New Roman"/>
          <w:sz w:val="24"/>
          <w:szCs w:val="24"/>
        </w:rPr>
        <w:t xml:space="preserve">  </w:t>
      </w:r>
      <w:r w:rsidR="007E06DD" w:rsidRPr="00580014">
        <w:rPr>
          <w:rFonts w:ascii="Times New Roman" w:eastAsiaTheme="minorEastAsia" w:hAnsi="Times New Roman" w:cs="Times New Roman"/>
          <w:sz w:val="24"/>
          <w:szCs w:val="24"/>
        </w:rPr>
        <w:t xml:space="preserve">Moreover, </w:t>
      </w:r>
      <w:r w:rsidR="00B31E08" w:rsidRPr="00580014">
        <w:rPr>
          <w:rFonts w:ascii="Times New Roman" w:eastAsiaTheme="minorEastAsia" w:hAnsi="Times New Roman" w:cs="Times New Roman"/>
          <w:sz w:val="24"/>
          <w:szCs w:val="24"/>
        </w:rPr>
        <w:t xml:space="preserve">more than two </w:t>
      </w:r>
      <w:r w:rsidR="007E06DD" w:rsidRPr="00580014">
        <w:rPr>
          <w:rFonts w:ascii="Times New Roman" w:eastAsiaTheme="minorEastAsia" w:hAnsi="Times New Roman" w:cs="Times New Roman"/>
          <w:sz w:val="24"/>
          <w:szCs w:val="24"/>
        </w:rPr>
        <w:t>decades of experimental work has shown that participants in contest settings</w:t>
      </w:r>
      <w:r w:rsidR="00B31E08" w:rsidRPr="00580014">
        <w:rPr>
          <w:rFonts w:ascii="Times New Roman" w:eastAsiaTheme="minorEastAsia" w:hAnsi="Times New Roman" w:cs="Times New Roman"/>
          <w:sz w:val="24"/>
          <w:szCs w:val="24"/>
        </w:rPr>
        <w:t xml:space="preserve"> (like a court battle)</w:t>
      </w:r>
      <w:r w:rsidR="007E06DD" w:rsidRPr="00580014">
        <w:rPr>
          <w:rFonts w:ascii="Times New Roman" w:eastAsiaTheme="minorEastAsia" w:hAnsi="Times New Roman" w:cs="Times New Roman"/>
          <w:sz w:val="24"/>
          <w:szCs w:val="24"/>
        </w:rPr>
        <w:t xml:space="preserve"> </w:t>
      </w:r>
      <w:r w:rsidR="00B31E08" w:rsidRPr="00580014">
        <w:rPr>
          <w:rFonts w:ascii="Times New Roman" w:eastAsiaTheme="minorEastAsia" w:hAnsi="Times New Roman" w:cs="Times New Roman"/>
          <w:sz w:val="24"/>
          <w:szCs w:val="24"/>
        </w:rPr>
        <w:t>frequently</w:t>
      </w:r>
      <w:r w:rsidR="007E06DD" w:rsidRPr="00580014">
        <w:rPr>
          <w:rFonts w:ascii="Times New Roman" w:eastAsiaTheme="minorEastAsia" w:hAnsi="Times New Roman" w:cs="Times New Roman"/>
          <w:sz w:val="24"/>
          <w:szCs w:val="24"/>
        </w:rPr>
        <w:t xml:space="preserve"> overspend relative to their Nash Equilibrium strategies.  For a survey of the literature, see Dechenaux, Kovenock and Sheremeta (2012).</w:t>
      </w:r>
    </w:p>
    <w:p w14:paraId="6A356078" w14:textId="77777777" w:rsidR="00B31E08" w:rsidRPr="00580014" w:rsidRDefault="006C6DFF">
      <w:pPr>
        <w:spacing w:line="480" w:lineRule="auto"/>
        <w:jc w:val="both"/>
        <w:rPr>
          <w:rFonts w:ascii="Times New Roman" w:hAnsi="Times New Roman" w:cs="Times New Roman"/>
          <w:sz w:val="24"/>
          <w:szCs w:val="24"/>
        </w:rPr>
      </w:pPr>
      <w:r w:rsidRPr="00580014">
        <w:rPr>
          <w:rFonts w:ascii="Times New Roman" w:hAnsi="Times New Roman" w:cs="Times New Roman"/>
          <w:sz w:val="24"/>
          <w:szCs w:val="24"/>
        </w:rPr>
        <w:tab/>
        <w:t>There are a number of experimental studies of land assembly that demonstrate that seller holdout does occur and can be costly.  (We provide an overview of these results in the following section.) This has led some investigators to suggest that eminent domain may be a necessary tool for efficient land aggregation (Swope, et al. 2011, Cadigan, et al. 2011).  However, to date there has been no experimental comparison of efficiency under a regime of eminent domain versus secure property.  In this paper we provide such a comparison and find that eminent domain is not efficiency enhancing.</w:t>
      </w:r>
      <w:r w:rsidR="00581543" w:rsidRPr="00580014">
        <w:rPr>
          <w:rFonts w:ascii="Times New Roman" w:hAnsi="Times New Roman" w:cs="Times New Roman"/>
          <w:sz w:val="24"/>
          <w:szCs w:val="24"/>
        </w:rPr>
        <w:t xml:space="preserve">  The reduction in delay and assembly failure is slightly more than offset by inefficient assembly and influence costs.  Participants captured 81.9% of the available surplus when buyers had no alternative to assembly and no recourse to eminent domain.  They captured 81.4% of the available surplus when buyers </w:t>
      </w:r>
      <w:r w:rsidR="00B63966" w:rsidRPr="00580014">
        <w:rPr>
          <w:rFonts w:ascii="Times New Roman" w:hAnsi="Times New Roman" w:cs="Times New Roman"/>
          <w:sz w:val="24"/>
          <w:szCs w:val="24"/>
        </w:rPr>
        <w:t>could exercise eminent domain and the fair market price was determined by a contest in which both parties could improve his probability of winning by expending more resources.  In another treatment we prevented the buyer from exercising eminent domain but allowed him to buy a less valuable substitute parcel of land instead of assembling parcels from the two primary sellers.  Introducing this weak form of competition increased average efficiency to 88.5%.</w:t>
      </w:r>
    </w:p>
    <w:p w14:paraId="1CC2C339" w14:textId="01B0E1C1" w:rsidR="00B31E08" w:rsidRPr="00580014" w:rsidRDefault="006C6DFF">
      <w:pPr>
        <w:spacing w:line="480" w:lineRule="auto"/>
        <w:jc w:val="both"/>
        <w:rPr>
          <w:rFonts w:ascii="Times New Roman" w:hAnsi="Times New Roman" w:cs="Times New Roman"/>
          <w:sz w:val="24"/>
          <w:szCs w:val="24"/>
        </w:rPr>
      </w:pPr>
      <w:r w:rsidRPr="00580014">
        <w:rPr>
          <w:rFonts w:ascii="Times New Roman" w:hAnsi="Times New Roman" w:cs="Times New Roman"/>
          <w:sz w:val="24"/>
          <w:szCs w:val="24"/>
        </w:rPr>
        <w:tab/>
      </w:r>
      <w:r w:rsidR="00B63966" w:rsidRPr="00580014">
        <w:rPr>
          <w:rFonts w:ascii="Times New Roman" w:hAnsi="Times New Roman" w:cs="Times New Roman"/>
          <w:sz w:val="24"/>
          <w:szCs w:val="24"/>
        </w:rPr>
        <w:t xml:space="preserve">Interestingly, we find that buyers “hold out” more frequently than sellers.  In the baseline treatment with secure property and no competition the sellers rejected a </w:t>
      </w:r>
      <w:r w:rsidR="00E74B6C" w:rsidRPr="00580014">
        <w:rPr>
          <w:rFonts w:ascii="Times New Roman" w:hAnsi="Times New Roman" w:cs="Times New Roman"/>
          <w:sz w:val="24"/>
          <w:szCs w:val="24"/>
        </w:rPr>
        <w:t>profitable</w:t>
      </w:r>
      <w:r w:rsidR="00B63966" w:rsidRPr="00580014">
        <w:rPr>
          <w:rFonts w:ascii="Times New Roman" w:hAnsi="Times New Roman" w:cs="Times New Roman"/>
          <w:sz w:val="24"/>
          <w:szCs w:val="24"/>
        </w:rPr>
        <w:t xml:space="preserve"> offer in 22.6% of cases, while 60% of buyers’ final offers were too low compared to the profit-maximizing offer.  </w:t>
      </w:r>
      <w:r w:rsidR="00E74B6C" w:rsidRPr="00580014">
        <w:rPr>
          <w:rFonts w:ascii="Times New Roman" w:hAnsi="Times New Roman" w:cs="Times New Roman"/>
          <w:sz w:val="24"/>
          <w:szCs w:val="24"/>
        </w:rPr>
        <w:t>In the treatment with weak competition 22.2% of final offers were too low and sellers rejected profitable offers in only 6.7% of cases.  This strategic holdout rate of 6.7% is not statistically different from the holdout rate of 4.3% when the buyer could exercise eminent domain.  Thus, weak competition was as effective at breaking up seller holdout as eminent domain.</w:t>
      </w:r>
    </w:p>
    <w:p w14:paraId="76C81D32" w14:textId="77777777" w:rsidR="00DC6F8B" w:rsidRPr="00580014" w:rsidRDefault="00DC6F8B" w:rsidP="00C2132D">
      <w:pPr>
        <w:spacing w:line="480" w:lineRule="auto"/>
        <w:rPr>
          <w:rFonts w:ascii="Times New Roman" w:hAnsi="Times New Roman" w:cs="Times New Roman"/>
          <w:b/>
          <w:sz w:val="24"/>
          <w:szCs w:val="24"/>
        </w:rPr>
      </w:pPr>
      <w:r w:rsidRPr="00580014">
        <w:rPr>
          <w:rFonts w:ascii="Times New Roman" w:hAnsi="Times New Roman" w:cs="Times New Roman"/>
          <w:b/>
          <w:sz w:val="24"/>
          <w:szCs w:val="24"/>
        </w:rPr>
        <w:t xml:space="preserve">II. </w:t>
      </w:r>
      <w:r w:rsidR="00D73A11" w:rsidRPr="00580014">
        <w:rPr>
          <w:rFonts w:ascii="Times New Roman" w:hAnsi="Times New Roman" w:cs="Times New Roman"/>
          <w:b/>
          <w:sz w:val="24"/>
          <w:szCs w:val="24"/>
        </w:rPr>
        <w:t>Previous Experiments in Land Assembly</w:t>
      </w:r>
    </w:p>
    <w:p w14:paraId="76150FE8" w14:textId="77777777" w:rsidR="00B31E08" w:rsidRPr="00580014" w:rsidRDefault="00EC72F8">
      <w:pPr>
        <w:spacing w:line="480" w:lineRule="auto"/>
        <w:ind w:firstLine="720"/>
        <w:jc w:val="both"/>
        <w:rPr>
          <w:rFonts w:ascii="Times New Roman" w:hAnsi="Times New Roman" w:cs="Times New Roman"/>
          <w:sz w:val="24"/>
          <w:szCs w:val="24"/>
        </w:rPr>
      </w:pPr>
      <w:r w:rsidRPr="00580014">
        <w:rPr>
          <w:rFonts w:ascii="Times New Roman" w:hAnsi="Times New Roman" w:cs="Times New Roman"/>
          <w:sz w:val="24"/>
          <w:szCs w:val="24"/>
        </w:rPr>
        <w:t xml:space="preserve">Several laboratory studies </w:t>
      </w:r>
      <w:r w:rsidR="00E86D15" w:rsidRPr="00580014">
        <w:rPr>
          <w:rFonts w:ascii="Times New Roman" w:hAnsi="Times New Roman" w:cs="Times New Roman"/>
          <w:sz w:val="24"/>
          <w:szCs w:val="24"/>
        </w:rPr>
        <w:t>examine</w:t>
      </w:r>
      <w:r w:rsidRPr="00580014">
        <w:rPr>
          <w:rFonts w:ascii="Times New Roman" w:hAnsi="Times New Roman" w:cs="Times New Roman"/>
          <w:sz w:val="24"/>
          <w:szCs w:val="24"/>
        </w:rPr>
        <w:t xml:space="preserve"> the holdout problem, but none of them incorporate the sources of inefficiency for eminent domain.  In the laboratory environments the land is always more valuable under assembled ownership and there are no influence costs.  The most relevant studies are those by Cadigan, et al. (2009, 2011), Swope, et al. (2011), Cadigan, Schmitt and Swope (</w:t>
      </w:r>
      <w:r w:rsidR="002353BD" w:rsidRPr="00580014">
        <w:rPr>
          <w:rFonts w:ascii="Times New Roman" w:hAnsi="Times New Roman" w:cs="Times New Roman"/>
          <w:sz w:val="24"/>
          <w:szCs w:val="24"/>
        </w:rPr>
        <w:t>forthcoming</w:t>
      </w:r>
      <w:r w:rsidRPr="00580014">
        <w:rPr>
          <w:rFonts w:ascii="Times New Roman" w:hAnsi="Times New Roman" w:cs="Times New Roman"/>
          <w:sz w:val="24"/>
          <w:szCs w:val="24"/>
        </w:rPr>
        <w:t xml:space="preserve">), Parente and Winn (2012), Shupp, </w:t>
      </w:r>
      <w:r w:rsidR="00DC114D" w:rsidRPr="00580014">
        <w:rPr>
          <w:rFonts w:ascii="Times New Roman" w:hAnsi="Times New Roman" w:cs="Times New Roman"/>
          <w:sz w:val="24"/>
          <w:szCs w:val="24"/>
        </w:rPr>
        <w:t>et al. (2013</w:t>
      </w:r>
      <w:r w:rsidRPr="00580014">
        <w:rPr>
          <w:rFonts w:ascii="Times New Roman" w:hAnsi="Times New Roman" w:cs="Times New Roman"/>
          <w:sz w:val="24"/>
          <w:szCs w:val="24"/>
        </w:rPr>
        <w:t xml:space="preserve">) and </w:t>
      </w:r>
      <w:r w:rsidR="00DC114D" w:rsidRPr="00580014">
        <w:rPr>
          <w:rFonts w:ascii="Times New Roman" w:hAnsi="Times New Roman" w:cs="Times New Roman"/>
          <w:sz w:val="24"/>
          <w:szCs w:val="24"/>
        </w:rPr>
        <w:t>Zillante, Read and</w:t>
      </w:r>
      <w:r w:rsidRPr="00580014">
        <w:rPr>
          <w:rFonts w:ascii="Times New Roman" w:hAnsi="Times New Roman" w:cs="Times New Roman"/>
          <w:sz w:val="24"/>
          <w:szCs w:val="24"/>
        </w:rPr>
        <w:t xml:space="preserve"> Schwarz </w:t>
      </w:r>
      <w:r w:rsidR="00DC114D" w:rsidRPr="00580014">
        <w:rPr>
          <w:rFonts w:ascii="Times New Roman" w:hAnsi="Times New Roman" w:cs="Times New Roman"/>
          <w:sz w:val="24"/>
          <w:szCs w:val="24"/>
        </w:rPr>
        <w:t>(2014</w:t>
      </w:r>
      <w:r w:rsidRPr="00580014">
        <w:rPr>
          <w:rFonts w:ascii="Times New Roman" w:hAnsi="Times New Roman" w:cs="Times New Roman"/>
          <w:sz w:val="24"/>
          <w:szCs w:val="24"/>
        </w:rPr>
        <w:t xml:space="preserve">).  Two findings are both salient and consistent across studies.  </w:t>
      </w:r>
    </w:p>
    <w:p w14:paraId="21102427" w14:textId="79D15A1D" w:rsidR="00B31E08" w:rsidRPr="00580014" w:rsidRDefault="00EC72F8">
      <w:pPr>
        <w:spacing w:line="480" w:lineRule="auto"/>
        <w:ind w:firstLine="720"/>
        <w:jc w:val="both"/>
        <w:rPr>
          <w:rFonts w:ascii="Times New Roman" w:hAnsi="Times New Roman" w:cs="Times New Roman"/>
          <w:sz w:val="24"/>
          <w:szCs w:val="24"/>
        </w:rPr>
      </w:pPr>
      <w:r w:rsidRPr="00580014">
        <w:rPr>
          <w:rFonts w:ascii="Times New Roman" w:hAnsi="Times New Roman" w:cs="Times New Roman"/>
          <w:sz w:val="24"/>
          <w:szCs w:val="24"/>
        </w:rPr>
        <w:t xml:space="preserve">First, the holdout problem is real, although failure to assemble land is infrequent so long as the parties can negotiate through multiple periods.  There is a strong tendency for </w:t>
      </w:r>
      <w:r w:rsidR="008C0C02" w:rsidRPr="00580014">
        <w:rPr>
          <w:rFonts w:ascii="Times New Roman" w:hAnsi="Times New Roman" w:cs="Times New Roman"/>
          <w:sz w:val="24"/>
          <w:szCs w:val="24"/>
        </w:rPr>
        <w:t xml:space="preserve">sellers </w:t>
      </w:r>
      <w:r w:rsidRPr="00580014">
        <w:rPr>
          <w:rFonts w:ascii="Times New Roman" w:hAnsi="Times New Roman" w:cs="Times New Roman"/>
          <w:sz w:val="24"/>
          <w:szCs w:val="24"/>
        </w:rPr>
        <w:t xml:space="preserve">to demand more than the value of their property, and this strategy tends to be profitable </w:t>
      </w:r>
      <w:r w:rsidR="006858E2" w:rsidRPr="00580014">
        <w:rPr>
          <w:rFonts w:ascii="Times New Roman" w:hAnsi="Times New Roman" w:cs="Times New Roman"/>
          <w:sz w:val="24"/>
          <w:szCs w:val="24"/>
        </w:rPr>
        <w:t>(</w:t>
      </w:r>
      <w:r w:rsidRPr="00580014">
        <w:rPr>
          <w:rFonts w:ascii="Times New Roman" w:hAnsi="Times New Roman" w:cs="Times New Roman"/>
          <w:sz w:val="24"/>
          <w:szCs w:val="24"/>
        </w:rPr>
        <w:t>s</w:t>
      </w:r>
      <w:r w:rsidR="00E85200" w:rsidRPr="00580014">
        <w:rPr>
          <w:rFonts w:ascii="Times New Roman" w:hAnsi="Times New Roman" w:cs="Times New Roman"/>
          <w:sz w:val="24"/>
          <w:szCs w:val="24"/>
        </w:rPr>
        <w:t>ee, e.g., Cadigan, et al., 2009, Swope, et al., 2011,</w:t>
      </w:r>
      <w:r w:rsidRPr="00580014">
        <w:rPr>
          <w:rFonts w:ascii="Times New Roman" w:hAnsi="Times New Roman" w:cs="Times New Roman"/>
          <w:sz w:val="24"/>
          <w:szCs w:val="24"/>
        </w:rPr>
        <w:t xml:space="preserve"> and Cadigan Schmitt and Swope, </w:t>
      </w:r>
      <w:r w:rsidR="00A61C47">
        <w:rPr>
          <w:rFonts w:ascii="Times New Roman" w:hAnsi="Times New Roman" w:cs="Times New Roman"/>
          <w:sz w:val="24"/>
          <w:szCs w:val="24"/>
        </w:rPr>
        <w:t>forthcoming</w:t>
      </w:r>
      <w:r w:rsidRPr="00580014">
        <w:rPr>
          <w:rFonts w:ascii="Times New Roman" w:hAnsi="Times New Roman" w:cs="Times New Roman"/>
          <w:sz w:val="24"/>
          <w:szCs w:val="24"/>
        </w:rPr>
        <w:t xml:space="preserve">).  Indeed, even non-binding requests from </w:t>
      </w:r>
      <w:r w:rsidR="008C0C02" w:rsidRPr="00580014">
        <w:rPr>
          <w:rFonts w:ascii="Times New Roman" w:hAnsi="Times New Roman" w:cs="Times New Roman"/>
          <w:sz w:val="24"/>
          <w:szCs w:val="24"/>
        </w:rPr>
        <w:t xml:space="preserve">sellers </w:t>
      </w:r>
      <w:r w:rsidRPr="00580014">
        <w:rPr>
          <w:rFonts w:ascii="Times New Roman" w:hAnsi="Times New Roman" w:cs="Times New Roman"/>
          <w:sz w:val="24"/>
          <w:szCs w:val="24"/>
        </w:rPr>
        <w:t>tend to raise the price they are ultimately offered (</w:t>
      </w:r>
      <w:r w:rsidR="00301ECC" w:rsidRPr="00580014">
        <w:rPr>
          <w:rFonts w:ascii="Times New Roman" w:hAnsi="Times New Roman" w:cs="Times New Roman"/>
          <w:sz w:val="24"/>
          <w:szCs w:val="24"/>
        </w:rPr>
        <w:t>Zillante, Read and</w:t>
      </w:r>
      <w:r w:rsidRPr="00580014">
        <w:rPr>
          <w:rFonts w:ascii="Times New Roman" w:hAnsi="Times New Roman" w:cs="Times New Roman"/>
          <w:sz w:val="24"/>
          <w:szCs w:val="24"/>
        </w:rPr>
        <w:t xml:space="preserve"> Schwarz </w:t>
      </w:r>
      <w:r w:rsidR="00301ECC" w:rsidRPr="00580014">
        <w:rPr>
          <w:rFonts w:ascii="Times New Roman" w:hAnsi="Times New Roman" w:cs="Times New Roman"/>
          <w:sz w:val="24"/>
          <w:szCs w:val="24"/>
        </w:rPr>
        <w:t>2014</w:t>
      </w:r>
      <w:r w:rsidRPr="00580014">
        <w:rPr>
          <w:rFonts w:ascii="Times New Roman" w:hAnsi="Times New Roman" w:cs="Times New Roman"/>
          <w:sz w:val="24"/>
          <w:szCs w:val="24"/>
        </w:rPr>
        <w:t>). Consequently, negotiations tend to drag on for multiple negotiation periods</w:t>
      </w:r>
      <w:r w:rsidR="002031DB" w:rsidRPr="00580014">
        <w:rPr>
          <w:rFonts w:ascii="Times New Roman" w:hAnsi="Times New Roman" w:cs="Times New Roman"/>
          <w:sz w:val="24"/>
          <w:szCs w:val="24"/>
        </w:rPr>
        <w:t>,</w:t>
      </w:r>
      <w:r w:rsidRPr="00580014">
        <w:rPr>
          <w:rFonts w:ascii="Times New Roman" w:hAnsi="Times New Roman" w:cs="Times New Roman"/>
          <w:sz w:val="24"/>
          <w:szCs w:val="24"/>
        </w:rPr>
        <w:t xml:space="preserve"> even when delay is costly. Failure rates in multi-period negotiation treatments in these studies range from 0% to 41.4%, with an average of 8.7%.</w:t>
      </w:r>
      <w:r w:rsidR="001F4B6C" w:rsidRPr="00580014">
        <w:rPr>
          <w:rFonts w:ascii="Times New Roman" w:hAnsi="Times New Roman" w:cs="Times New Roman"/>
          <w:sz w:val="24"/>
          <w:szCs w:val="24"/>
        </w:rPr>
        <w:t xml:space="preserve">  However, it is important to note that in all of these studies except for </w:t>
      </w:r>
      <w:r w:rsidR="00D85982" w:rsidRPr="00580014">
        <w:rPr>
          <w:rFonts w:ascii="Times New Roman" w:hAnsi="Times New Roman" w:cs="Times New Roman"/>
          <w:sz w:val="24"/>
          <w:szCs w:val="24"/>
        </w:rPr>
        <w:t xml:space="preserve">Zillante, </w:t>
      </w:r>
      <w:r w:rsidR="001F4B6C" w:rsidRPr="00580014">
        <w:rPr>
          <w:rFonts w:ascii="Times New Roman" w:hAnsi="Times New Roman" w:cs="Times New Roman"/>
          <w:sz w:val="24"/>
          <w:szCs w:val="24"/>
        </w:rPr>
        <w:t>Read</w:t>
      </w:r>
      <w:r w:rsidR="00D85982" w:rsidRPr="00580014">
        <w:rPr>
          <w:rFonts w:ascii="Times New Roman" w:hAnsi="Times New Roman" w:cs="Times New Roman"/>
          <w:sz w:val="24"/>
          <w:szCs w:val="24"/>
        </w:rPr>
        <w:t xml:space="preserve"> and</w:t>
      </w:r>
      <w:r w:rsidR="001F4B6C" w:rsidRPr="00580014">
        <w:rPr>
          <w:rFonts w:ascii="Times New Roman" w:hAnsi="Times New Roman" w:cs="Times New Roman"/>
          <w:sz w:val="24"/>
          <w:szCs w:val="24"/>
        </w:rPr>
        <w:t xml:space="preserve"> Schwarz </w:t>
      </w:r>
      <w:r w:rsidR="00D85982" w:rsidRPr="00580014">
        <w:rPr>
          <w:rFonts w:ascii="Times New Roman" w:hAnsi="Times New Roman" w:cs="Times New Roman"/>
          <w:sz w:val="24"/>
          <w:szCs w:val="24"/>
        </w:rPr>
        <w:t>(2014</w:t>
      </w:r>
      <w:r w:rsidR="001F4B6C" w:rsidRPr="00580014">
        <w:rPr>
          <w:rFonts w:ascii="Times New Roman" w:hAnsi="Times New Roman" w:cs="Times New Roman"/>
          <w:sz w:val="24"/>
          <w:szCs w:val="24"/>
        </w:rPr>
        <w:t xml:space="preserve">) the </w:t>
      </w:r>
      <w:r w:rsidR="00703401" w:rsidRPr="00580014">
        <w:rPr>
          <w:rFonts w:ascii="Times New Roman" w:hAnsi="Times New Roman" w:cs="Times New Roman"/>
          <w:sz w:val="24"/>
          <w:szCs w:val="24"/>
        </w:rPr>
        <w:t xml:space="preserve">sellers were modelled as having a cost for </w:t>
      </w:r>
      <w:r w:rsidR="006858E2" w:rsidRPr="00580014">
        <w:rPr>
          <w:rFonts w:ascii="Times New Roman" w:hAnsi="Times New Roman" w:cs="Times New Roman"/>
          <w:sz w:val="24"/>
          <w:szCs w:val="24"/>
        </w:rPr>
        <w:t xml:space="preserve">selling </w:t>
      </w:r>
      <w:r w:rsidR="00703401" w:rsidRPr="00580014">
        <w:rPr>
          <w:rFonts w:ascii="Times New Roman" w:hAnsi="Times New Roman" w:cs="Times New Roman"/>
          <w:sz w:val="24"/>
          <w:szCs w:val="24"/>
        </w:rPr>
        <w:t>their input</w:t>
      </w:r>
      <w:r w:rsidR="006858E2" w:rsidRPr="00580014">
        <w:rPr>
          <w:rFonts w:ascii="Times New Roman" w:hAnsi="Times New Roman" w:cs="Times New Roman"/>
          <w:sz w:val="24"/>
          <w:szCs w:val="24"/>
        </w:rPr>
        <w:t xml:space="preserve"> rather than a value for keeping it</w:t>
      </w:r>
      <w:r w:rsidR="00703401" w:rsidRPr="00580014">
        <w:rPr>
          <w:rFonts w:ascii="Times New Roman" w:hAnsi="Times New Roman" w:cs="Times New Roman"/>
          <w:sz w:val="24"/>
          <w:szCs w:val="24"/>
        </w:rPr>
        <w:t xml:space="preserve">.  Consequently, the only way for sellers to earn money in </w:t>
      </w:r>
      <w:r w:rsidR="006858E2" w:rsidRPr="00580014">
        <w:rPr>
          <w:rFonts w:ascii="Times New Roman" w:hAnsi="Times New Roman" w:cs="Times New Roman"/>
          <w:sz w:val="24"/>
          <w:szCs w:val="24"/>
        </w:rPr>
        <w:t xml:space="preserve">most </w:t>
      </w:r>
      <w:r w:rsidR="00703401" w:rsidRPr="00580014">
        <w:rPr>
          <w:rFonts w:ascii="Times New Roman" w:hAnsi="Times New Roman" w:cs="Times New Roman"/>
          <w:sz w:val="24"/>
          <w:szCs w:val="24"/>
        </w:rPr>
        <w:t xml:space="preserve">experiments was to hold out for high prices.  Moreover, </w:t>
      </w:r>
      <w:r w:rsidR="00D85982" w:rsidRPr="00580014">
        <w:rPr>
          <w:rFonts w:ascii="Times New Roman" w:hAnsi="Times New Roman" w:cs="Times New Roman"/>
          <w:sz w:val="24"/>
          <w:szCs w:val="24"/>
        </w:rPr>
        <w:t>Zillante, Read and</w:t>
      </w:r>
      <w:r w:rsidR="00703401" w:rsidRPr="00580014">
        <w:rPr>
          <w:rFonts w:ascii="Times New Roman" w:hAnsi="Times New Roman" w:cs="Times New Roman"/>
          <w:sz w:val="24"/>
          <w:szCs w:val="24"/>
        </w:rPr>
        <w:t xml:space="preserve"> Schwarz </w:t>
      </w:r>
      <w:r w:rsidR="00D85982" w:rsidRPr="00580014">
        <w:rPr>
          <w:rFonts w:ascii="Times New Roman" w:hAnsi="Times New Roman" w:cs="Times New Roman"/>
          <w:sz w:val="24"/>
          <w:szCs w:val="24"/>
        </w:rPr>
        <w:t>(2014</w:t>
      </w:r>
      <w:r w:rsidR="00703401" w:rsidRPr="00580014">
        <w:rPr>
          <w:rFonts w:ascii="Times New Roman" w:hAnsi="Times New Roman" w:cs="Times New Roman"/>
          <w:sz w:val="24"/>
          <w:szCs w:val="24"/>
        </w:rPr>
        <w:t>) study land assembly without delay costs, so there was little reason for their sellers not to hold out.</w:t>
      </w:r>
    </w:p>
    <w:p w14:paraId="0347C32A" w14:textId="6F7B02CB" w:rsidR="00B31E08" w:rsidRPr="00580014" w:rsidRDefault="00EC72F8">
      <w:pPr>
        <w:spacing w:line="480" w:lineRule="auto"/>
        <w:ind w:firstLine="720"/>
        <w:jc w:val="both"/>
        <w:rPr>
          <w:rFonts w:ascii="Times New Roman" w:hAnsi="Times New Roman" w:cs="Times New Roman"/>
          <w:sz w:val="24"/>
          <w:szCs w:val="24"/>
        </w:rPr>
      </w:pPr>
      <w:r w:rsidRPr="00580014">
        <w:rPr>
          <w:rFonts w:ascii="Times New Roman" w:hAnsi="Times New Roman" w:cs="Times New Roman"/>
          <w:sz w:val="24"/>
          <w:szCs w:val="24"/>
        </w:rPr>
        <w:t xml:space="preserve">Second, competition among landowners is effective in combating seller holdout. Cadigan, et al. (2011) conducted experiments in which the assembler negotiated with three landowners but needed only two parcels.  Negotiation lasted for a maximum of 10 </w:t>
      </w:r>
      <w:r w:rsidR="002031DB" w:rsidRPr="00580014">
        <w:rPr>
          <w:rFonts w:ascii="Times New Roman" w:hAnsi="Times New Roman" w:cs="Times New Roman"/>
          <w:sz w:val="24"/>
          <w:szCs w:val="24"/>
        </w:rPr>
        <w:t>periods</w:t>
      </w:r>
      <w:r w:rsidRPr="00580014">
        <w:rPr>
          <w:rFonts w:ascii="Times New Roman" w:hAnsi="Times New Roman" w:cs="Times New Roman"/>
          <w:sz w:val="24"/>
          <w:szCs w:val="24"/>
        </w:rPr>
        <w:t>, but delay cost</w:t>
      </w:r>
      <w:r w:rsidR="002031DB" w:rsidRPr="00580014">
        <w:rPr>
          <w:rFonts w:ascii="Times New Roman" w:hAnsi="Times New Roman" w:cs="Times New Roman"/>
          <w:sz w:val="24"/>
          <w:szCs w:val="24"/>
        </w:rPr>
        <w:t xml:space="preserve"> participants 10% of their earnings per period</w:t>
      </w:r>
      <w:r w:rsidRPr="00580014">
        <w:rPr>
          <w:rFonts w:ascii="Times New Roman" w:hAnsi="Times New Roman" w:cs="Times New Roman"/>
          <w:sz w:val="24"/>
          <w:szCs w:val="24"/>
        </w:rPr>
        <w:t>.  Out of 64 groups none failed to assemble the necessary parcels</w:t>
      </w:r>
      <w:r w:rsidR="002031DB" w:rsidRPr="00580014">
        <w:rPr>
          <w:rFonts w:ascii="Times New Roman" w:hAnsi="Times New Roman" w:cs="Times New Roman"/>
          <w:sz w:val="24"/>
          <w:szCs w:val="24"/>
        </w:rPr>
        <w:t xml:space="preserve"> and negotiation took an</w:t>
      </w:r>
      <w:r w:rsidRPr="00580014">
        <w:rPr>
          <w:rFonts w:ascii="Times New Roman" w:hAnsi="Times New Roman" w:cs="Times New Roman"/>
          <w:sz w:val="24"/>
          <w:szCs w:val="24"/>
        </w:rPr>
        <w:t xml:space="preserve"> </w:t>
      </w:r>
      <w:r w:rsidR="002031DB" w:rsidRPr="00580014">
        <w:rPr>
          <w:rFonts w:ascii="Times New Roman" w:hAnsi="Times New Roman" w:cs="Times New Roman"/>
          <w:sz w:val="24"/>
          <w:szCs w:val="24"/>
        </w:rPr>
        <w:t xml:space="preserve">average </w:t>
      </w:r>
      <w:r w:rsidRPr="00580014">
        <w:rPr>
          <w:rFonts w:ascii="Times New Roman" w:hAnsi="Times New Roman" w:cs="Times New Roman"/>
          <w:sz w:val="24"/>
          <w:szCs w:val="24"/>
        </w:rPr>
        <w:t>of 1.85 periods.  Parente and Winn (2012) also conducted experiments in which the assembler (represented by the software) needed two parcels and faced three landowners.  Their experiments were single-period ultimatum games, with participants randomly re-grouped 60 times.  Out of 768 cases where assembly failure was possible, it occurred only 6 times, for a success rate of 99.2%.</w:t>
      </w:r>
    </w:p>
    <w:p w14:paraId="7316D14F" w14:textId="77777777" w:rsidR="008D574E" w:rsidRPr="00580014" w:rsidRDefault="008D574E" w:rsidP="008D574E">
      <w:pPr>
        <w:spacing w:line="480" w:lineRule="auto"/>
        <w:rPr>
          <w:rFonts w:ascii="Times New Roman" w:hAnsi="Times New Roman" w:cs="Times New Roman"/>
          <w:b/>
          <w:sz w:val="24"/>
          <w:szCs w:val="24"/>
        </w:rPr>
      </w:pPr>
      <w:r w:rsidRPr="00580014">
        <w:rPr>
          <w:rFonts w:ascii="Times New Roman" w:hAnsi="Times New Roman" w:cs="Times New Roman"/>
          <w:b/>
          <w:sz w:val="24"/>
          <w:szCs w:val="24"/>
        </w:rPr>
        <w:t xml:space="preserve">III. Theoretical </w:t>
      </w:r>
      <w:r w:rsidR="00CB63D5" w:rsidRPr="00580014">
        <w:rPr>
          <w:rFonts w:ascii="Times New Roman" w:hAnsi="Times New Roman" w:cs="Times New Roman"/>
          <w:b/>
          <w:sz w:val="24"/>
          <w:szCs w:val="24"/>
        </w:rPr>
        <w:t>Model</w:t>
      </w:r>
    </w:p>
    <w:p w14:paraId="4D68C69A" w14:textId="77777777" w:rsidR="008D574E" w:rsidRPr="00580014" w:rsidRDefault="008D574E" w:rsidP="008D574E">
      <w:pPr>
        <w:spacing w:line="480" w:lineRule="auto"/>
        <w:rPr>
          <w:rFonts w:ascii="Times New Roman" w:hAnsi="Times New Roman" w:cs="Times New Roman"/>
          <w:i/>
          <w:sz w:val="24"/>
          <w:szCs w:val="24"/>
        </w:rPr>
      </w:pPr>
      <w:r w:rsidRPr="00580014">
        <w:rPr>
          <w:rFonts w:ascii="Times New Roman" w:hAnsi="Times New Roman" w:cs="Times New Roman"/>
          <w:i/>
          <w:sz w:val="24"/>
          <w:szCs w:val="24"/>
        </w:rPr>
        <w:t>A. Overview</w:t>
      </w:r>
    </w:p>
    <w:p w14:paraId="4797D8F0" w14:textId="77777777" w:rsidR="008D574E" w:rsidRPr="00580014" w:rsidRDefault="008D574E" w:rsidP="008D574E">
      <w:pPr>
        <w:spacing w:line="480" w:lineRule="auto"/>
        <w:ind w:firstLine="720"/>
        <w:jc w:val="both"/>
        <w:rPr>
          <w:rFonts w:ascii="Times New Roman" w:hAnsi="Times New Roman" w:cs="Times New Roman"/>
          <w:sz w:val="24"/>
          <w:szCs w:val="24"/>
        </w:rPr>
      </w:pPr>
      <w:r w:rsidRPr="00580014">
        <w:rPr>
          <w:rFonts w:ascii="Times New Roman" w:hAnsi="Times New Roman" w:cs="Times New Roman"/>
          <w:sz w:val="24"/>
          <w:szCs w:val="24"/>
        </w:rPr>
        <w:t>We model a</w:t>
      </w:r>
      <w:r w:rsidR="006B3F47" w:rsidRPr="00580014">
        <w:rPr>
          <w:rFonts w:ascii="Times New Roman" w:hAnsi="Times New Roman" w:cs="Times New Roman"/>
          <w:sz w:val="24"/>
          <w:szCs w:val="24"/>
        </w:rPr>
        <w:t>n</w:t>
      </w:r>
      <w:r w:rsidRPr="00580014">
        <w:rPr>
          <w:rFonts w:ascii="Times New Roman" w:hAnsi="Times New Roman" w:cs="Times New Roman"/>
          <w:sz w:val="24"/>
          <w:szCs w:val="24"/>
        </w:rPr>
        <w:t xml:space="preserve"> environment in which the buyer negotiates with two owners (the sellers) through a finitely repeated process of offers and responses.  The buyer make</w:t>
      </w:r>
      <w:r w:rsidR="004378E7" w:rsidRPr="00580014">
        <w:rPr>
          <w:rFonts w:ascii="Times New Roman" w:hAnsi="Times New Roman" w:cs="Times New Roman"/>
          <w:sz w:val="24"/>
          <w:szCs w:val="24"/>
        </w:rPr>
        <w:t>s</w:t>
      </w:r>
      <w:r w:rsidRPr="00580014">
        <w:rPr>
          <w:rFonts w:ascii="Times New Roman" w:hAnsi="Times New Roman" w:cs="Times New Roman"/>
          <w:sz w:val="24"/>
          <w:szCs w:val="24"/>
        </w:rPr>
        <w:t xml:space="preserve"> simultaneous independent offers to the sellers, who </w:t>
      </w:r>
      <w:r w:rsidR="004378E7" w:rsidRPr="00580014">
        <w:rPr>
          <w:rFonts w:ascii="Times New Roman" w:hAnsi="Times New Roman" w:cs="Times New Roman"/>
          <w:sz w:val="24"/>
          <w:szCs w:val="24"/>
        </w:rPr>
        <w:t xml:space="preserve">may </w:t>
      </w:r>
      <w:r w:rsidRPr="00580014">
        <w:rPr>
          <w:rFonts w:ascii="Times New Roman" w:hAnsi="Times New Roman" w:cs="Times New Roman"/>
          <w:sz w:val="24"/>
          <w:szCs w:val="24"/>
        </w:rPr>
        <w:t xml:space="preserve">accept or reject </w:t>
      </w:r>
      <w:r w:rsidR="004378E7" w:rsidRPr="00580014">
        <w:rPr>
          <w:rFonts w:ascii="Times New Roman" w:hAnsi="Times New Roman" w:cs="Times New Roman"/>
          <w:sz w:val="24"/>
          <w:szCs w:val="24"/>
        </w:rPr>
        <w:t>them</w:t>
      </w:r>
      <w:r w:rsidRPr="00580014">
        <w:rPr>
          <w:rFonts w:ascii="Times New Roman" w:hAnsi="Times New Roman" w:cs="Times New Roman"/>
          <w:sz w:val="24"/>
          <w:szCs w:val="24"/>
        </w:rPr>
        <w:t>.</w:t>
      </w:r>
    </w:p>
    <w:p w14:paraId="276A449C" w14:textId="33749461" w:rsidR="008D574E" w:rsidRPr="00580014" w:rsidRDefault="008D574E" w:rsidP="008D574E">
      <w:pPr>
        <w:spacing w:line="480" w:lineRule="auto"/>
        <w:ind w:firstLine="720"/>
        <w:jc w:val="both"/>
        <w:rPr>
          <w:rFonts w:ascii="Times New Roman" w:eastAsiaTheme="minorEastAsia" w:hAnsi="Times New Roman" w:cs="Times New Roman"/>
          <w:sz w:val="24"/>
          <w:szCs w:val="24"/>
        </w:rPr>
      </w:pPr>
      <w:r w:rsidRPr="00580014">
        <w:rPr>
          <w:rFonts w:ascii="Times New Roman" w:hAnsi="Times New Roman" w:cs="Times New Roman"/>
          <w:sz w:val="24"/>
          <w:szCs w:val="24"/>
        </w:rPr>
        <w:t xml:space="preserve">Each seller </w:t>
      </w:r>
      <m:oMath>
        <m:r>
          <w:rPr>
            <w:rFonts w:ascii="Cambria Math" w:hAnsi="Cambria Math" w:cs="Times New Roman"/>
            <w:sz w:val="24"/>
            <w:szCs w:val="24"/>
          </w:rPr>
          <m:t>i</m:t>
        </m:r>
      </m:oMath>
      <w:r w:rsidRPr="00580014">
        <w:rPr>
          <w:rFonts w:ascii="Times New Roman" w:eastAsiaTheme="minorEastAsia" w:hAnsi="Times New Roman" w:cs="Times New Roman"/>
          <w:sz w:val="24"/>
          <w:szCs w:val="24"/>
        </w:rPr>
        <w:t xml:space="preserve"> </w:t>
      </w:r>
      <w:r w:rsidRPr="00580014">
        <w:rPr>
          <w:rFonts w:ascii="Times New Roman" w:hAnsi="Times New Roman" w:cs="Times New Roman"/>
          <w:sz w:val="24"/>
          <w:szCs w:val="24"/>
        </w:rPr>
        <w:t xml:space="preserve">has a private valuation for his own </w:t>
      </w:r>
      <w:r w:rsidR="004378E7" w:rsidRPr="00580014">
        <w:rPr>
          <w:rFonts w:ascii="Times New Roman" w:hAnsi="Times New Roman" w:cs="Times New Roman"/>
          <w:sz w:val="24"/>
          <w:szCs w:val="24"/>
        </w:rPr>
        <w:t xml:space="preserve">parcel </w:t>
      </w:r>
      <w:r w:rsidRPr="00580014">
        <w:rPr>
          <w:rFonts w:ascii="Times New Roman" w:hAnsi="Times New Roman" w:cs="Times New Roman"/>
          <w:sz w:val="24"/>
          <w:szCs w:val="24"/>
        </w:rPr>
        <w:t xml:space="preserve">of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m:t>
            </m:r>
          </m:sub>
        </m:sSub>
      </m:oMath>
      <w:r w:rsidRPr="00580014">
        <w:rPr>
          <w:rFonts w:ascii="Times New Roman" w:eastAsiaTheme="minorEastAsia" w:hAnsi="Times New Roman" w:cs="Times New Roman"/>
          <w:sz w:val="24"/>
          <w:szCs w:val="24"/>
        </w:rPr>
        <w:t xml:space="preserve">, which is drawn (with replacement) from a uniform distribution with support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a,b</m:t>
            </m:r>
          </m:e>
        </m:d>
      </m:oMath>
      <w:r w:rsidRPr="00580014">
        <w:rPr>
          <w:rFonts w:ascii="Times New Roman" w:eastAsiaTheme="minorEastAsia" w:hAnsi="Times New Roman" w:cs="Times New Roman"/>
          <w:sz w:val="24"/>
          <w:szCs w:val="24"/>
        </w:rPr>
        <w:t xml:space="preserve"> and mean </w:t>
      </w:r>
      <m:oMath>
        <m:r>
          <w:rPr>
            <w:rFonts w:ascii="Cambria Math" w:eastAsiaTheme="minorEastAsia" w:hAnsi="Cambria Math" w:cs="Times New Roman"/>
            <w:sz w:val="24"/>
            <w:szCs w:val="24"/>
          </w:rPr>
          <m:t>m</m:t>
        </m:r>
      </m:oMath>
      <w:r w:rsidRPr="00580014">
        <w:rPr>
          <w:rFonts w:ascii="Times New Roman" w:eastAsiaTheme="minorEastAsia" w:hAnsi="Times New Roman" w:cs="Times New Roman"/>
          <w:sz w:val="24"/>
          <w:szCs w:val="24"/>
        </w:rPr>
        <w:t xml:space="preserve">.  The buyer’s WTP for either of the </w:t>
      </w:r>
      <w:r w:rsidR="004378E7" w:rsidRPr="00580014">
        <w:rPr>
          <w:rFonts w:ascii="Times New Roman" w:eastAsiaTheme="minorEastAsia" w:hAnsi="Times New Roman" w:cs="Times New Roman"/>
          <w:sz w:val="24"/>
          <w:szCs w:val="24"/>
        </w:rPr>
        <w:t>parcels alone</w:t>
      </w:r>
      <w:r w:rsidRPr="00580014">
        <w:rPr>
          <w:rFonts w:ascii="Times New Roman" w:eastAsiaTheme="minorEastAsia" w:hAnsi="Times New Roman" w:cs="Times New Roman"/>
          <w:sz w:val="24"/>
          <w:szCs w:val="24"/>
        </w:rPr>
        <w:t xml:space="preserve"> is zero, but his </w:t>
      </w:r>
      <w:r w:rsidR="003944CB" w:rsidRPr="00580014">
        <w:rPr>
          <w:rFonts w:ascii="Times New Roman" w:eastAsiaTheme="minorEastAsia" w:hAnsi="Times New Roman" w:cs="Times New Roman"/>
          <w:sz w:val="24"/>
          <w:szCs w:val="24"/>
        </w:rPr>
        <w:t>WTP</w:t>
      </w:r>
      <w:r w:rsidRPr="00580014">
        <w:rPr>
          <w:rFonts w:ascii="Times New Roman" w:eastAsiaTheme="minorEastAsia" w:hAnsi="Times New Roman" w:cs="Times New Roman"/>
          <w:sz w:val="24"/>
          <w:szCs w:val="24"/>
        </w:rPr>
        <w:t xml:space="preserve"> for the </w:t>
      </w:r>
      <w:r w:rsidR="004378E7" w:rsidRPr="00580014">
        <w:rPr>
          <w:rFonts w:ascii="Times New Roman" w:eastAsiaTheme="minorEastAsia" w:hAnsi="Times New Roman" w:cs="Times New Roman"/>
          <w:sz w:val="24"/>
          <w:szCs w:val="24"/>
        </w:rPr>
        <w:t>pair of them</w:t>
      </w:r>
      <w:r w:rsidRPr="00580014">
        <w:rPr>
          <w:rFonts w:ascii="Times New Roman" w:eastAsiaTheme="minorEastAsia" w:hAnsi="Times New Roman" w:cs="Times New Roman"/>
          <w:sz w:val="24"/>
          <w:szCs w:val="24"/>
        </w:rPr>
        <w:t xml:space="preserve"> is </w:t>
      </w:r>
      <m:oMath>
        <m:r>
          <w:rPr>
            <w:rFonts w:ascii="Cambria Math" w:eastAsiaTheme="minorEastAsia" w:hAnsi="Cambria Math" w:cs="Times New Roman"/>
            <w:sz w:val="24"/>
            <w:szCs w:val="24"/>
          </w:rPr>
          <m:t>V</m:t>
        </m:r>
      </m:oMath>
      <w:r w:rsidRPr="00580014">
        <w:rPr>
          <w:rFonts w:ascii="Times New Roman" w:eastAsiaTheme="minorEastAsia" w:hAnsi="Times New Roman" w:cs="Times New Roman"/>
          <w:sz w:val="24"/>
          <w:szCs w:val="24"/>
        </w:rPr>
        <w:t xml:space="preserve">, which is drawn from a uniform distribution with support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A,B</m:t>
            </m:r>
          </m:e>
        </m:d>
      </m:oMath>
      <w:r w:rsidRPr="00580014">
        <w:rPr>
          <w:rFonts w:ascii="Times New Roman" w:eastAsiaTheme="minorEastAsia" w:hAnsi="Times New Roman" w:cs="Times New Roman"/>
          <w:sz w:val="24"/>
          <w:szCs w:val="24"/>
        </w:rPr>
        <w:t xml:space="preserve"> and mean </w:t>
      </w:r>
      <m:oMath>
        <m:r>
          <w:rPr>
            <w:rFonts w:ascii="Cambria Math" w:eastAsiaTheme="minorEastAsia" w:hAnsi="Cambria Math" w:cs="Times New Roman"/>
            <w:sz w:val="24"/>
            <w:szCs w:val="24"/>
          </w:rPr>
          <m:t>M</m:t>
        </m:r>
      </m:oMath>
      <w:r w:rsidRPr="00580014">
        <w:rPr>
          <w:rFonts w:ascii="Times New Roman" w:eastAsiaTheme="minorEastAsia" w:hAnsi="Times New Roman" w:cs="Times New Roman"/>
          <w:sz w:val="24"/>
          <w:szCs w:val="24"/>
        </w:rPr>
        <w:t xml:space="preserve">.  We assume that </w:t>
      </w:r>
      <m:oMath>
        <m:r>
          <w:rPr>
            <w:rFonts w:ascii="Cambria Math" w:eastAsiaTheme="minorEastAsia" w:hAnsi="Cambria Math" w:cs="Times New Roman"/>
            <w:sz w:val="24"/>
            <w:szCs w:val="24"/>
          </w:rPr>
          <m:t>M&gt;2m</m:t>
        </m:r>
      </m:oMath>
      <w:r w:rsidRPr="00580014">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A&lt;2b</m:t>
        </m:r>
      </m:oMath>
      <w:r w:rsidRPr="00580014">
        <w:rPr>
          <w:rFonts w:ascii="Times New Roman" w:eastAsiaTheme="minorEastAsia" w:hAnsi="Times New Roman" w:cs="Times New Roman"/>
          <w:sz w:val="24"/>
          <w:szCs w:val="24"/>
        </w:rPr>
        <w:t xml:space="preserve">, so that assembly is efficient on average but </w:t>
      </w:r>
      <w:r w:rsidR="004378E7" w:rsidRPr="00580014">
        <w:rPr>
          <w:rFonts w:ascii="Times New Roman" w:eastAsiaTheme="minorEastAsia" w:hAnsi="Times New Roman" w:cs="Times New Roman"/>
          <w:sz w:val="24"/>
          <w:szCs w:val="24"/>
        </w:rPr>
        <w:t>is</w:t>
      </w:r>
      <w:r w:rsidRPr="00580014">
        <w:rPr>
          <w:rFonts w:ascii="Times New Roman" w:eastAsiaTheme="minorEastAsia" w:hAnsi="Times New Roman" w:cs="Times New Roman"/>
          <w:sz w:val="24"/>
          <w:szCs w:val="24"/>
        </w:rPr>
        <w:t xml:space="preserve"> inefficient </w:t>
      </w:r>
      <w:r w:rsidR="000C1876">
        <w:rPr>
          <w:rFonts w:ascii="Times New Roman" w:eastAsiaTheme="minorEastAsia" w:hAnsi="Times New Roman" w:cs="Times New Roman"/>
          <w:sz w:val="24"/>
          <w:szCs w:val="24"/>
        </w:rPr>
        <w:t>with non</w:t>
      </w:r>
      <w:r w:rsidR="00EF7EEB">
        <w:rPr>
          <w:rFonts w:ascii="Times New Roman" w:eastAsiaTheme="minorEastAsia" w:hAnsi="Times New Roman" w:cs="Times New Roman"/>
          <w:sz w:val="24"/>
          <w:szCs w:val="24"/>
        </w:rPr>
        <w:t>-</w:t>
      </w:r>
      <w:r w:rsidR="000C1876">
        <w:rPr>
          <w:rFonts w:ascii="Times New Roman" w:eastAsiaTheme="minorEastAsia" w:hAnsi="Times New Roman" w:cs="Times New Roman"/>
          <w:sz w:val="24"/>
          <w:szCs w:val="24"/>
        </w:rPr>
        <w:t>zero probability</w:t>
      </w:r>
      <w:r w:rsidRPr="00580014">
        <w:rPr>
          <w:rFonts w:ascii="Times New Roman" w:eastAsiaTheme="minorEastAsia" w:hAnsi="Times New Roman" w:cs="Times New Roman"/>
          <w:sz w:val="24"/>
          <w:szCs w:val="24"/>
        </w:rPr>
        <w:t xml:space="preserve">.  </w:t>
      </w:r>
      <w:r w:rsidR="004378E7" w:rsidRPr="00580014">
        <w:rPr>
          <w:rFonts w:ascii="Times New Roman" w:eastAsiaTheme="minorEastAsia" w:hAnsi="Times New Roman" w:cs="Times New Roman"/>
          <w:sz w:val="24"/>
          <w:szCs w:val="24"/>
        </w:rPr>
        <w:t>Agents</w:t>
      </w:r>
      <w:r w:rsidRPr="00580014">
        <w:rPr>
          <w:rFonts w:ascii="Times New Roman" w:eastAsiaTheme="minorEastAsia" w:hAnsi="Times New Roman" w:cs="Times New Roman"/>
          <w:sz w:val="24"/>
          <w:szCs w:val="24"/>
        </w:rPr>
        <w:t xml:space="preserve"> know </w:t>
      </w:r>
      <w:r w:rsidR="004378E7" w:rsidRPr="00580014">
        <w:rPr>
          <w:rFonts w:ascii="Times New Roman" w:eastAsiaTheme="minorEastAsia" w:hAnsi="Times New Roman" w:cs="Times New Roman"/>
          <w:sz w:val="24"/>
          <w:szCs w:val="24"/>
        </w:rPr>
        <w:t xml:space="preserve">their </w:t>
      </w:r>
      <w:r w:rsidRPr="00580014">
        <w:rPr>
          <w:rFonts w:ascii="Times New Roman" w:eastAsiaTheme="minorEastAsia" w:hAnsi="Times New Roman" w:cs="Times New Roman"/>
          <w:sz w:val="24"/>
          <w:szCs w:val="24"/>
        </w:rPr>
        <w:t xml:space="preserve">own valuation but only the distribution(s) from which </w:t>
      </w:r>
      <w:r w:rsidR="004378E7" w:rsidRPr="00580014">
        <w:rPr>
          <w:rFonts w:ascii="Times New Roman" w:eastAsiaTheme="minorEastAsia" w:hAnsi="Times New Roman" w:cs="Times New Roman"/>
          <w:sz w:val="24"/>
          <w:szCs w:val="24"/>
        </w:rPr>
        <w:t xml:space="preserve">their </w:t>
      </w:r>
      <w:r w:rsidRPr="00580014">
        <w:rPr>
          <w:rFonts w:ascii="Times New Roman" w:eastAsiaTheme="minorEastAsia" w:hAnsi="Times New Roman" w:cs="Times New Roman"/>
          <w:sz w:val="24"/>
          <w:szCs w:val="24"/>
        </w:rPr>
        <w:t>counterparts’ valuations are drawn.</w:t>
      </w:r>
    </w:p>
    <w:p w14:paraId="32D6CAD9" w14:textId="77777777" w:rsidR="008D574E" w:rsidRPr="00580014" w:rsidRDefault="008D574E" w:rsidP="008D574E">
      <w:pPr>
        <w:spacing w:line="480" w:lineRule="auto"/>
        <w:jc w:val="both"/>
        <w:rPr>
          <w:rFonts w:ascii="Times New Roman" w:hAnsi="Times New Roman" w:cs="Times New Roman"/>
          <w:sz w:val="24"/>
          <w:szCs w:val="24"/>
        </w:rPr>
      </w:pPr>
      <w:r w:rsidRPr="00580014">
        <w:rPr>
          <w:rFonts w:ascii="Times New Roman" w:hAnsi="Times New Roman" w:cs="Times New Roman"/>
          <w:sz w:val="24"/>
          <w:szCs w:val="24"/>
        </w:rPr>
        <w:tab/>
        <w:t xml:space="preserve">Negotiation </w:t>
      </w:r>
      <w:r w:rsidR="004378E7" w:rsidRPr="00580014">
        <w:rPr>
          <w:rFonts w:ascii="Times New Roman" w:hAnsi="Times New Roman" w:cs="Times New Roman"/>
          <w:sz w:val="24"/>
          <w:szCs w:val="24"/>
        </w:rPr>
        <w:t>lasts</w:t>
      </w:r>
      <w:r w:rsidRPr="00580014">
        <w:rPr>
          <w:rFonts w:ascii="Times New Roman" w:hAnsi="Times New Roman" w:cs="Times New Roman"/>
          <w:sz w:val="24"/>
          <w:szCs w:val="24"/>
        </w:rPr>
        <w:t xml:space="preserve"> up to </w:t>
      </w:r>
      <m:oMath>
        <m:r>
          <w:rPr>
            <w:rFonts w:ascii="Cambria Math" w:hAnsi="Cambria Math" w:cs="Times New Roman"/>
            <w:sz w:val="24"/>
            <w:szCs w:val="24"/>
          </w:rPr>
          <m:t>T</m:t>
        </m:r>
      </m:oMath>
      <w:r w:rsidRPr="00580014">
        <w:rPr>
          <w:rFonts w:ascii="Times New Roman" w:eastAsiaTheme="minorEastAsia" w:hAnsi="Times New Roman" w:cs="Times New Roman"/>
          <w:sz w:val="24"/>
          <w:szCs w:val="24"/>
        </w:rPr>
        <w:t xml:space="preserve"> periods, which is common knowledge.  In each period the buyer offers a bid</w:t>
      </w:r>
      <w:r w:rsidR="004378E7" w:rsidRPr="00580014">
        <w:rPr>
          <w:rFonts w:ascii="Times New Roman" w:eastAsiaTheme="minorEastAsia" w:hAnsi="Times New Roman" w:cs="Times New Roman"/>
          <w:sz w:val="24"/>
          <w:szCs w:val="24"/>
        </w:rPr>
        <w:t>,</w:t>
      </w:r>
      <w:r w:rsidRPr="00580014">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i</m:t>
            </m:r>
          </m:sub>
        </m:sSub>
      </m:oMath>
      <w:r w:rsidR="004378E7" w:rsidRPr="00580014">
        <w:rPr>
          <w:rFonts w:ascii="Times New Roman" w:eastAsiaTheme="minorEastAsia" w:hAnsi="Times New Roman" w:cs="Times New Roman"/>
          <w:sz w:val="24"/>
          <w:szCs w:val="24"/>
        </w:rPr>
        <w:t>,</w:t>
      </w:r>
      <w:r w:rsidRPr="00580014">
        <w:rPr>
          <w:rFonts w:ascii="Times New Roman" w:eastAsiaTheme="minorEastAsia" w:hAnsi="Times New Roman" w:cs="Times New Roman"/>
          <w:sz w:val="24"/>
          <w:szCs w:val="24"/>
        </w:rPr>
        <w:t xml:space="preserve"> to each seller who has not yet agreed to sell </w:t>
      </w:r>
      <w:r w:rsidR="004378E7" w:rsidRPr="00580014">
        <w:rPr>
          <w:rFonts w:ascii="Times New Roman" w:eastAsiaTheme="minorEastAsia" w:hAnsi="Times New Roman" w:cs="Times New Roman"/>
          <w:sz w:val="24"/>
          <w:szCs w:val="24"/>
        </w:rPr>
        <w:t xml:space="preserve">her </w:t>
      </w:r>
      <w:r w:rsidRPr="00580014">
        <w:rPr>
          <w:rFonts w:ascii="Times New Roman" w:eastAsiaTheme="minorEastAsia" w:hAnsi="Times New Roman" w:cs="Times New Roman"/>
          <w:sz w:val="24"/>
          <w:szCs w:val="24"/>
        </w:rPr>
        <w:t>input.</w:t>
      </w:r>
      <w:r w:rsidRPr="00580014">
        <w:rPr>
          <w:rFonts w:ascii="Times New Roman" w:hAnsi="Times New Roman" w:cs="Times New Roman"/>
          <w:sz w:val="24"/>
          <w:szCs w:val="24"/>
        </w:rPr>
        <w:t xml:space="preserve">  Sellers </w:t>
      </w:r>
      <w:r w:rsidR="004378E7" w:rsidRPr="00580014">
        <w:rPr>
          <w:rFonts w:ascii="Times New Roman" w:hAnsi="Times New Roman" w:cs="Times New Roman"/>
          <w:sz w:val="24"/>
          <w:szCs w:val="24"/>
        </w:rPr>
        <w:t xml:space="preserve">can only </w:t>
      </w:r>
      <w:r w:rsidRPr="00580014">
        <w:rPr>
          <w:rFonts w:ascii="Times New Roman" w:hAnsi="Times New Roman" w:cs="Times New Roman"/>
          <w:sz w:val="24"/>
          <w:szCs w:val="24"/>
        </w:rPr>
        <w:t xml:space="preserve">accept or reject </w:t>
      </w:r>
      <w:r w:rsidR="004378E7" w:rsidRPr="00580014">
        <w:rPr>
          <w:rFonts w:ascii="Times New Roman" w:hAnsi="Times New Roman" w:cs="Times New Roman"/>
          <w:sz w:val="24"/>
          <w:szCs w:val="24"/>
        </w:rPr>
        <w:t>an offer</w:t>
      </w:r>
      <w:r w:rsidRPr="00580014">
        <w:rPr>
          <w:rFonts w:ascii="Times New Roman" w:hAnsi="Times New Roman" w:cs="Times New Roman"/>
          <w:sz w:val="24"/>
          <w:szCs w:val="24"/>
        </w:rPr>
        <w:t xml:space="preserve">; they cannot make a counteroffer.  The bids are contingent: if </w:t>
      </w:r>
      <w:r w:rsidR="004378E7" w:rsidRPr="00580014">
        <w:rPr>
          <w:rFonts w:ascii="Times New Roman" w:hAnsi="Times New Roman" w:cs="Times New Roman"/>
          <w:sz w:val="24"/>
          <w:szCs w:val="24"/>
        </w:rPr>
        <w:t xml:space="preserve">only </w:t>
      </w:r>
      <w:r w:rsidRPr="00580014">
        <w:rPr>
          <w:rFonts w:ascii="Times New Roman" w:hAnsi="Times New Roman" w:cs="Times New Roman"/>
          <w:sz w:val="24"/>
          <w:szCs w:val="24"/>
        </w:rPr>
        <w:t xml:space="preserve">one seller has accepted an offer </w:t>
      </w:r>
      <w:r w:rsidR="004378E7" w:rsidRPr="00580014">
        <w:rPr>
          <w:rFonts w:ascii="Times New Roman" w:hAnsi="Times New Roman" w:cs="Times New Roman"/>
          <w:sz w:val="24"/>
          <w:szCs w:val="24"/>
        </w:rPr>
        <w:t xml:space="preserve">by the end of period </w:t>
      </w:r>
      <w:r w:rsidR="004378E7" w:rsidRPr="00580014">
        <w:rPr>
          <w:rFonts w:ascii="Times New Roman" w:hAnsi="Times New Roman" w:cs="Times New Roman"/>
          <w:i/>
          <w:sz w:val="24"/>
          <w:szCs w:val="24"/>
        </w:rPr>
        <w:t>T</w:t>
      </w:r>
      <w:r w:rsidR="004378E7" w:rsidRPr="00580014">
        <w:rPr>
          <w:rFonts w:ascii="Times New Roman" w:hAnsi="Times New Roman" w:cs="Times New Roman"/>
          <w:sz w:val="24"/>
          <w:szCs w:val="24"/>
        </w:rPr>
        <w:t xml:space="preserve"> </w:t>
      </w:r>
      <w:r w:rsidRPr="00580014">
        <w:rPr>
          <w:rFonts w:ascii="Times New Roman" w:hAnsi="Times New Roman" w:cs="Times New Roman"/>
          <w:sz w:val="24"/>
          <w:szCs w:val="24"/>
        </w:rPr>
        <w:t xml:space="preserve">the buyer is not obligated to purchase </w:t>
      </w:r>
      <w:r w:rsidR="004378E7" w:rsidRPr="00580014">
        <w:rPr>
          <w:rFonts w:ascii="Times New Roman" w:hAnsi="Times New Roman" w:cs="Times New Roman"/>
          <w:sz w:val="24"/>
          <w:szCs w:val="24"/>
        </w:rPr>
        <w:t>her parcel.</w:t>
      </w:r>
    </w:p>
    <w:p w14:paraId="7530A6D1" w14:textId="77777777" w:rsidR="008D574E" w:rsidRPr="00580014" w:rsidRDefault="008D574E" w:rsidP="008D574E">
      <w:pPr>
        <w:spacing w:line="480" w:lineRule="auto"/>
        <w:ind w:firstLine="720"/>
        <w:jc w:val="both"/>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 xml:space="preserve">Prolonged negotiation is costly.  Following Cadigan, et al. (2009) we model the costs of delay as a penalty assessed against all agents’ payoffs.  Specifically, if both sellers have accepted an offer by period </w:t>
      </w:r>
      <m:oMath>
        <m:r>
          <w:rPr>
            <w:rFonts w:ascii="Cambria Math" w:eastAsiaTheme="minorEastAsia" w:hAnsi="Cambria Math" w:cs="Times New Roman"/>
            <w:sz w:val="24"/>
            <w:szCs w:val="24"/>
          </w:rPr>
          <m:t>t</m:t>
        </m:r>
      </m:oMath>
      <w:r w:rsidRPr="00580014">
        <w:rPr>
          <w:rFonts w:ascii="Times New Roman" w:eastAsiaTheme="minorEastAsia" w:hAnsi="Times New Roman" w:cs="Times New Roman"/>
          <w:sz w:val="24"/>
          <w:szCs w:val="24"/>
        </w:rPr>
        <w:t xml:space="preserve">, then all payoffs are multiplied by </w:t>
      </w:r>
      <m:oMath>
        <m:r>
          <w:rPr>
            <w:rFonts w:ascii="Cambria Math" w:eastAsiaTheme="minorEastAsia" w:hAnsi="Cambria Math" w:cs="Times New Roman"/>
            <w:sz w:val="24"/>
            <w:szCs w:val="24"/>
          </w:rPr>
          <m:t>1-δ</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t-1</m:t>
            </m:r>
          </m:e>
        </m:d>
      </m:oMath>
      <w:r w:rsidRPr="00580014">
        <w:rPr>
          <w:rFonts w:ascii="Times New Roman" w:eastAsiaTheme="minorEastAsia" w:hAnsi="Times New Roman" w:cs="Times New Roman"/>
          <w:sz w:val="24"/>
          <w:szCs w:val="24"/>
        </w:rPr>
        <w:t xml:space="preserve"> where </w:t>
      </w:r>
      <m:oMath>
        <m:r>
          <w:rPr>
            <w:rFonts w:ascii="Cambria Math" w:eastAsiaTheme="minorEastAsia" w:hAnsi="Cambria Math" w:cs="Times New Roman"/>
            <w:sz w:val="24"/>
            <w:szCs w:val="24"/>
          </w:rPr>
          <m:t>δ∈</m:t>
        </m:r>
        <m:d>
          <m:dPr>
            <m:endChr m:val=""/>
            <m:ctrlPr>
              <w:rPr>
                <w:rFonts w:ascii="Cambria Math" w:eastAsiaTheme="minorEastAsia" w:hAnsi="Cambria Math" w:cs="Times New Roman"/>
                <w:i/>
                <w:sz w:val="24"/>
                <w:szCs w:val="24"/>
              </w:rPr>
            </m:ctrlPr>
          </m:dPr>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0,1</m:t>
                </m:r>
              </m:e>
            </m:d>
          </m:e>
        </m:d>
      </m:oMath>
      <w:r w:rsidRPr="00580014">
        <w:rPr>
          <w:rFonts w:ascii="Times New Roman" w:eastAsiaTheme="minorEastAsia" w:hAnsi="Times New Roman" w:cs="Times New Roman"/>
          <w:sz w:val="24"/>
          <w:szCs w:val="24"/>
        </w:rPr>
        <w:t xml:space="preserve">.  Thus, if both sellers accept their offers in period 1 there is no cost of delay, while the cost is nonzero and monotonically increasing in all subsequent periods.  </w:t>
      </w:r>
    </w:p>
    <w:p w14:paraId="667CA4C6" w14:textId="77777777" w:rsidR="00D85300" w:rsidRPr="00580014" w:rsidRDefault="00D85300" w:rsidP="008D574E">
      <w:pPr>
        <w:spacing w:line="480" w:lineRule="auto"/>
        <w:ind w:firstLine="720"/>
        <w:jc w:val="both"/>
        <w:rPr>
          <w:rFonts w:ascii="Times New Roman" w:hAnsi="Times New Roman" w:cs="Times New Roman"/>
          <w:sz w:val="24"/>
          <w:szCs w:val="24"/>
        </w:rPr>
      </w:pPr>
      <w:r w:rsidRPr="00580014">
        <w:rPr>
          <w:rFonts w:ascii="Times New Roman" w:hAnsi="Times New Roman" w:cs="Times New Roman"/>
          <w:sz w:val="24"/>
          <w:szCs w:val="24"/>
        </w:rPr>
        <w:t xml:space="preserve">We now consider this general negotiation environment in </w:t>
      </w:r>
      <w:r w:rsidR="00103CB7" w:rsidRPr="00580014">
        <w:rPr>
          <w:rFonts w:ascii="Times New Roman" w:hAnsi="Times New Roman" w:cs="Times New Roman"/>
          <w:sz w:val="24"/>
          <w:szCs w:val="24"/>
        </w:rPr>
        <w:t xml:space="preserve">three </w:t>
      </w:r>
      <w:r w:rsidRPr="00580014">
        <w:rPr>
          <w:rFonts w:ascii="Times New Roman" w:hAnsi="Times New Roman" w:cs="Times New Roman"/>
          <w:sz w:val="24"/>
          <w:szCs w:val="24"/>
        </w:rPr>
        <w:t xml:space="preserve">conditions. In the first the buyer’s only profit opportunity is to purchase the parcels from the sellers without recourse to eminent domain.  In the second condition </w:t>
      </w:r>
      <w:r w:rsidR="00E42A61" w:rsidRPr="00580014">
        <w:rPr>
          <w:rFonts w:ascii="Times New Roman" w:hAnsi="Times New Roman" w:cs="Times New Roman"/>
          <w:sz w:val="24"/>
          <w:szCs w:val="24"/>
        </w:rPr>
        <w:t xml:space="preserve">the buyer can purchase a substitute parcel of land instead of assembling the fragmented parcels.  The substitute is not as valuable to the buyer as the fragmented parcels, however, so that the competitive pressure on the sellers is weak.  In the third condition </w:t>
      </w:r>
      <w:r w:rsidRPr="00580014">
        <w:rPr>
          <w:rFonts w:ascii="Times New Roman" w:hAnsi="Times New Roman" w:cs="Times New Roman"/>
          <w:sz w:val="24"/>
          <w:szCs w:val="24"/>
        </w:rPr>
        <w:t xml:space="preserve">the buyer may invoke eminent domain and the fair market value is </w:t>
      </w:r>
      <w:r w:rsidR="00103CB7" w:rsidRPr="00580014">
        <w:rPr>
          <w:rFonts w:ascii="Times New Roman" w:hAnsi="Times New Roman" w:cs="Times New Roman"/>
          <w:sz w:val="24"/>
          <w:szCs w:val="24"/>
        </w:rPr>
        <w:t>determined by a</w:t>
      </w:r>
      <w:r w:rsidRPr="00580014">
        <w:rPr>
          <w:rFonts w:ascii="Times New Roman" w:hAnsi="Times New Roman" w:cs="Times New Roman"/>
          <w:sz w:val="24"/>
          <w:szCs w:val="24"/>
        </w:rPr>
        <w:t xml:space="preserve"> Tullock Contest</w:t>
      </w:r>
      <w:r w:rsidR="00E42A61" w:rsidRPr="00580014">
        <w:rPr>
          <w:rFonts w:ascii="Times New Roman" w:hAnsi="Times New Roman" w:cs="Times New Roman"/>
          <w:sz w:val="24"/>
          <w:szCs w:val="24"/>
        </w:rPr>
        <w:t>.</w:t>
      </w:r>
      <w:r w:rsidR="00103CB7" w:rsidRPr="00580014">
        <w:rPr>
          <w:rFonts w:ascii="Times New Roman" w:hAnsi="Times New Roman" w:cs="Times New Roman"/>
          <w:sz w:val="24"/>
          <w:szCs w:val="24"/>
        </w:rPr>
        <w:t xml:space="preserve">  A high or low price can result from the contest, and a contestant’s probability of achieving his preferred price is proportional to the amount of money he spends in the contest.</w:t>
      </w:r>
    </w:p>
    <w:p w14:paraId="56CA1BB7" w14:textId="77777777" w:rsidR="008D574E" w:rsidRPr="00580014" w:rsidRDefault="008D574E" w:rsidP="008D574E">
      <w:pPr>
        <w:spacing w:line="480" w:lineRule="auto"/>
        <w:jc w:val="both"/>
        <w:rPr>
          <w:rFonts w:ascii="Times New Roman" w:eastAsiaTheme="minorEastAsia" w:hAnsi="Times New Roman" w:cs="Times New Roman"/>
          <w:i/>
          <w:sz w:val="24"/>
          <w:szCs w:val="24"/>
        </w:rPr>
      </w:pPr>
      <w:r w:rsidRPr="00580014">
        <w:rPr>
          <w:rFonts w:ascii="Times New Roman" w:eastAsiaTheme="minorEastAsia" w:hAnsi="Times New Roman" w:cs="Times New Roman"/>
          <w:i/>
          <w:sz w:val="24"/>
          <w:szCs w:val="24"/>
        </w:rPr>
        <w:t>B. Secure Property</w:t>
      </w:r>
    </w:p>
    <w:p w14:paraId="229628E1" w14:textId="77777777" w:rsidR="008D574E" w:rsidRPr="00580014" w:rsidRDefault="008D574E" w:rsidP="008D574E">
      <w:pPr>
        <w:spacing w:line="480" w:lineRule="auto"/>
        <w:jc w:val="both"/>
        <w:rPr>
          <w:rFonts w:ascii="Times New Roman" w:eastAsiaTheme="minorEastAsia" w:hAnsi="Times New Roman" w:cs="Times New Roman"/>
          <w:sz w:val="24"/>
          <w:szCs w:val="24"/>
        </w:rPr>
      </w:pPr>
      <w:r w:rsidRPr="00580014">
        <w:rPr>
          <w:rFonts w:ascii="Times New Roman" w:hAnsi="Times New Roman" w:cs="Times New Roman"/>
          <w:sz w:val="24"/>
          <w:szCs w:val="24"/>
        </w:rPr>
        <w:tab/>
        <w:t xml:space="preserve">We begin by considering the simplest case in which </w:t>
      </w:r>
      <m:oMath>
        <m:r>
          <w:rPr>
            <w:rFonts w:ascii="Cambria Math" w:hAnsi="Cambria Math" w:cs="Times New Roman"/>
            <w:sz w:val="24"/>
            <w:szCs w:val="24"/>
          </w:rPr>
          <m:t>T=1</m:t>
        </m:r>
      </m:oMath>
      <w:r w:rsidRPr="00580014">
        <w:rPr>
          <w:rFonts w:ascii="Times New Roman" w:hAnsi="Times New Roman" w:cs="Times New Roman"/>
          <w:sz w:val="24"/>
          <w:szCs w:val="24"/>
        </w:rPr>
        <w:t xml:space="preserve">.  In this case there is no incentive for sellers to strategically hold out, and they should accept any offer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m:t>
            </m:r>
          </m:sub>
        </m:sSub>
      </m:oMath>
      <w:r w:rsidRPr="00580014">
        <w:rPr>
          <w:rFonts w:ascii="Times New Roman" w:eastAsiaTheme="minorEastAsia" w:hAnsi="Times New Roman" w:cs="Times New Roman"/>
          <w:sz w:val="24"/>
          <w:szCs w:val="24"/>
        </w:rPr>
        <w:t xml:space="preserve">.  Since the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m:t>
            </m:r>
          </m:sub>
        </m:sSub>
      </m:oMath>
      <w:r w:rsidRPr="00580014">
        <w:rPr>
          <w:rFonts w:ascii="Times New Roman" w:eastAsiaTheme="minorEastAsia" w:hAnsi="Times New Roman" w:cs="Times New Roman"/>
          <w:sz w:val="24"/>
          <w:szCs w:val="24"/>
        </w:rPr>
        <w:t xml:space="preserve"> are drawn from the same distribution the buyer has no reason to submit different offers to the two sellers, and so in equilibrium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oMath>
      <w:r w:rsidRPr="00580014">
        <w:rPr>
          <w:rFonts w:ascii="Times New Roman" w:eastAsiaTheme="minorEastAsia" w:hAnsi="Times New Roman" w:cs="Times New Roman"/>
          <w:sz w:val="24"/>
          <w:szCs w:val="24"/>
        </w:rPr>
        <w:t xml:space="preserve">.  </w:t>
      </w:r>
      <w:r w:rsidR="00F63ED2" w:rsidRPr="00580014">
        <w:rPr>
          <w:rFonts w:ascii="Times New Roman" w:eastAsiaTheme="minorEastAsia" w:hAnsi="Times New Roman" w:cs="Times New Roman"/>
          <w:sz w:val="24"/>
          <w:szCs w:val="24"/>
        </w:rPr>
        <w:t>Thus,</w:t>
      </w:r>
      <w:r w:rsidRPr="00580014">
        <w:rPr>
          <w:rFonts w:ascii="Times New Roman" w:eastAsiaTheme="minorEastAsia" w:hAnsi="Times New Roman" w:cs="Times New Roman"/>
          <w:sz w:val="24"/>
          <w:szCs w:val="24"/>
        </w:rPr>
        <w:t xml:space="preserve"> we omit the subscripts in the following analysis.</w:t>
      </w:r>
    </w:p>
    <w:p w14:paraId="75AAFAB4" w14:textId="77777777" w:rsidR="008D574E" w:rsidRPr="00580014" w:rsidRDefault="008D574E" w:rsidP="008D574E">
      <w:pPr>
        <w:spacing w:line="480" w:lineRule="auto"/>
        <w:jc w:val="both"/>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ab/>
        <w:t xml:space="preserve">The buyer will attempt to maximize his expected profit, </w:t>
      </w:r>
      <m:oMath>
        <m:r>
          <w:rPr>
            <w:rFonts w:ascii="Cambria Math" w:eastAsiaTheme="minorEastAsia" w:hAnsi="Cambria Math" w:cs="Times New Roman"/>
            <w:sz w:val="24"/>
            <w:szCs w:val="24"/>
          </w:rPr>
          <m:t>π</m:t>
        </m:r>
      </m:oMath>
      <w:r w:rsidRPr="00580014">
        <w:rPr>
          <w:rFonts w:ascii="Times New Roman" w:eastAsiaTheme="minorEastAsia" w:hAnsi="Times New Roman" w:cs="Times New Roman"/>
          <w:sz w:val="24"/>
          <w:szCs w:val="24"/>
        </w:rPr>
        <w:t>, which is a function of his value and offers:</w:t>
      </w:r>
    </w:p>
    <w:p w14:paraId="3B60C9B8" w14:textId="77777777" w:rsidR="008D574E" w:rsidRPr="00580014" w:rsidRDefault="008D574E" w:rsidP="008D574E">
      <w:pPr>
        <w:spacing w:line="48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E</m:t>
          </m:r>
          <m:d>
            <m:dPr>
              <m:ctrlPr>
                <w:rPr>
                  <w:rFonts w:ascii="Cambria Math" w:hAnsi="Cambria Math" w:cs="Times New Roman"/>
                  <w:i/>
                  <w:sz w:val="24"/>
                  <w:szCs w:val="24"/>
                </w:rPr>
              </m:ctrlPr>
            </m:dPr>
            <m:e>
              <m:r>
                <w:rPr>
                  <w:rFonts w:ascii="Cambria Math" w:hAnsi="Cambria Math" w:cs="Times New Roman"/>
                  <w:sz w:val="24"/>
                  <w:szCs w:val="24"/>
                </w:rPr>
                <m:t>π</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V-2β</m:t>
              </m:r>
            </m:e>
          </m:d>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β-a</m:t>
                      </m:r>
                    </m:num>
                    <m:den>
                      <m:r>
                        <w:rPr>
                          <w:rFonts w:ascii="Cambria Math" w:hAnsi="Cambria Math" w:cs="Times New Roman"/>
                          <w:sz w:val="24"/>
                          <w:szCs w:val="24"/>
                        </w:rPr>
                        <m:t>b-a</m:t>
                      </m:r>
                    </m:den>
                  </m:f>
                </m:e>
              </m:d>
            </m:e>
            <m:sup>
              <m:r>
                <w:rPr>
                  <w:rFonts w:ascii="Cambria Math" w:hAnsi="Cambria Math" w:cs="Times New Roman"/>
                  <w:sz w:val="24"/>
                  <w:szCs w:val="24"/>
                </w:rPr>
                <m:t>2</m:t>
              </m:r>
            </m:sup>
          </m:sSup>
        </m:oMath>
      </m:oMathPara>
    </w:p>
    <w:p w14:paraId="0B277B47" w14:textId="77777777" w:rsidR="008D574E" w:rsidRPr="00580014" w:rsidRDefault="008D574E" w:rsidP="008D574E">
      <w:pPr>
        <w:spacing w:line="480" w:lineRule="auto"/>
        <w:jc w:val="right"/>
        <w:rPr>
          <w:rFonts w:ascii="Times New Roman" w:hAnsi="Times New Roman" w:cs="Times New Roman"/>
          <w:sz w:val="24"/>
          <w:szCs w:val="24"/>
        </w:rPr>
      </w:pPr>
      <w:r w:rsidRPr="00580014">
        <w:rPr>
          <w:rFonts w:ascii="Times New Roman" w:eastAsiaTheme="minorEastAsia" w:hAnsi="Times New Roman" w:cs="Times New Roman"/>
          <w:sz w:val="24"/>
          <w:szCs w:val="24"/>
        </w:rPr>
        <w:t>(1)</w:t>
      </w:r>
    </w:p>
    <w:p w14:paraId="04B107B2" w14:textId="77777777" w:rsidR="008D574E" w:rsidRPr="00580014" w:rsidRDefault="008D574E" w:rsidP="008D574E">
      <w:pPr>
        <w:spacing w:line="480" w:lineRule="auto"/>
        <w:rPr>
          <w:rFonts w:ascii="Times New Roman" w:eastAsiaTheme="minorEastAsia" w:hAnsi="Times New Roman" w:cs="Times New Roman"/>
          <w:sz w:val="24"/>
          <w:szCs w:val="24"/>
        </w:rPr>
      </w:pPr>
      <w:r w:rsidRPr="00580014">
        <w:rPr>
          <w:rFonts w:ascii="Times New Roman" w:hAnsi="Times New Roman" w:cs="Times New Roman"/>
          <w:sz w:val="24"/>
          <w:szCs w:val="24"/>
        </w:rPr>
        <w:t xml:space="preserve">The first term in (1) is the profit earned by the buyer if both sellers accept and the second term is the probability that his offers exceed both of the sellers’ values.  </w:t>
      </w:r>
      <w:r w:rsidR="00F63ED2" w:rsidRPr="00580014">
        <w:rPr>
          <w:rFonts w:ascii="Times New Roman" w:hAnsi="Times New Roman" w:cs="Times New Roman"/>
          <w:sz w:val="24"/>
          <w:szCs w:val="24"/>
        </w:rPr>
        <w:t>T</w:t>
      </w:r>
      <w:r w:rsidRPr="00580014">
        <w:rPr>
          <w:rFonts w:ascii="Times New Roman" w:eastAsiaTheme="minorEastAsia" w:hAnsi="Times New Roman" w:cs="Times New Roman"/>
          <w:sz w:val="24"/>
          <w:szCs w:val="24"/>
        </w:rPr>
        <w:t>he first order condition</w:t>
      </w:r>
      <w:r w:rsidR="00F63ED2" w:rsidRPr="00580014">
        <w:rPr>
          <w:rFonts w:ascii="Times New Roman" w:eastAsiaTheme="minorEastAsia" w:hAnsi="Times New Roman" w:cs="Times New Roman"/>
          <w:sz w:val="24"/>
          <w:szCs w:val="24"/>
        </w:rPr>
        <w:t xml:space="preserve"> is</w:t>
      </w:r>
      <w:r w:rsidRPr="00580014">
        <w:rPr>
          <w:rFonts w:ascii="Times New Roman" w:eastAsiaTheme="minorEastAsia" w:hAnsi="Times New Roman" w:cs="Times New Roman"/>
          <w:sz w:val="24"/>
          <w:szCs w:val="24"/>
        </w:rPr>
        <w:t>:</w:t>
      </w:r>
    </w:p>
    <w:p w14:paraId="1680F449" w14:textId="77777777" w:rsidR="008D574E" w:rsidRPr="00580014" w:rsidRDefault="008D574E" w:rsidP="008D574E">
      <w:pPr>
        <w:spacing w:line="480" w:lineRule="auto"/>
        <w:rPr>
          <w:rFonts w:ascii="Times New Roman" w:eastAsiaTheme="minorEastAsia" w:hAnsi="Times New Roman" w:cs="Times New Roman"/>
          <w:sz w:val="24"/>
          <w:szCs w:val="24"/>
        </w:rPr>
      </w:pPr>
      <m:oMathPara>
        <m:oMath>
          <m:r>
            <w:rPr>
              <w:rFonts w:ascii="Cambria Math" w:hAnsi="Cambria Math" w:cs="Times New Roman"/>
              <w:sz w:val="24"/>
              <w:szCs w:val="24"/>
            </w:rPr>
            <m:t>-2</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β-a</m:t>
                      </m:r>
                    </m:num>
                    <m:den>
                      <m:r>
                        <w:rPr>
                          <w:rFonts w:ascii="Cambria Math" w:hAnsi="Cambria Math" w:cs="Times New Roman"/>
                          <w:sz w:val="24"/>
                          <w:szCs w:val="24"/>
                        </w:rPr>
                        <m:t>b-a</m:t>
                      </m:r>
                    </m:den>
                  </m:f>
                </m:e>
              </m:d>
            </m:e>
            <m:sup>
              <m:r>
                <w:rPr>
                  <w:rFonts w:ascii="Cambria Math" w:hAnsi="Cambria Math" w:cs="Times New Roman"/>
                  <w:sz w:val="24"/>
                  <w:szCs w:val="24"/>
                </w:rPr>
                <m:t>2</m:t>
              </m:r>
            </m:sup>
          </m:sSup>
          <m:r>
            <w:rPr>
              <w:rFonts w:ascii="Cambria Math" w:hAnsi="Cambria Math" w:cs="Times New Roman"/>
              <w:sz w:val="24"/>
              <w:szCs w:val="24"/>
            </w:rPr>
            <m:t>+2</m:t>
          </m:r>
          <m:d>
            <m:dPr>
              <m:ctrlPr>
                <w:rPr>
                  <w:rFonts w:ascii="Cambria Math" w:hAnsi="Cambria Math" w:cs="Times New Roman"/>
                  <w:i/>
                  <w:sz w:val="24"/>
                  <w:szCs w:val="24"/>
                </w:rPr>
              </m:ctrlPr>
            </m:dPr>
            <m:e>
              <m:r>
                <w:rPr>
                  <w:rFonts w:ascii="Cambria Math" w:hAnsi="Cambria Math" w:cs="Times New Roman"/>
                  <w:sz w:val="24"/>
                  <w:szCs w:val="24"/>
                </w:rPr>
                <m:t>V-2β</m:t>
              </m:r>
            </m:e>
          </m:d>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b-a</m:t>
                  </m:r>
                </m:den>
              </m:f>
            </m:e>
          </m:d>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β-a</m:t>
                  </m:r>
                </m:num>
                <m:den>
                  <m:r>
                    <w:rPr>
                      <w:rFonts w:ascii="Cambria Math" w:hAnsi="Cambria Math" w:cs="Times New Roman"/>
                      <w:sz w:val="24"/>
                      <w:szCs w:val="24"/>
                    </w:rPr>
                    <m:t>b-a</m:t>
                  </m:r>
                </m:den>
              </m:f>
            </m:e>
          </m:d>
          <m:r>
            <w:rPr>
              <w:rFonts w:ascii="Cambria Math" w:hAnsi="Cambria Math" w:cs="Times New Roman"/>
              <w:sz w:val="24"/>
              <w:szCs w:val="24"/>
            </w:rPr>
            <m:t>=0</m:t>
          </m:r>
        </m:oMath>
      </m:oMathPara>
    </w:p>
    <w:p w14:paraId="6C2845F8" w14:textId="77777777" w:rsidR="008D574E" w:rsidRPr="00580014" w:rsidRDefault="008D574E" w:rsidP="008D574E">
      <w:pPr>
        <w:spacing w:line="480" w:lineRule="auto"/>
        <w:jc w:val="right"/>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(2)</w:t>
      </w:r>
    </w:p>
    <w:p w14:paraId="601136CC" w14:textId="77777777" w:rsidR="008D574E" w:rsidRPr="00580014" w:rsidRDefault="008D574E" w:rsidP="008D574E">
      <w:pPr>
        <w:spacing w:line="480" w:lineRule="auto"/>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 xml:space="preserve">Solving (2) for </w:t>
      </w:r>
      <m:oMath>
        <m:r>
          <w:rPr>
            <w:rFonts w:ascii="Cambria Math" w:hAnsi="Cambria Math" w:cs="Times New Roman"/>
            <w:sz w:val="24"/>
            <w:szCs w:val="24"/>
          </w:rPr>
          <m:t>β</m:t>
        </m:r>
      </m:oMath>
      <w:r w:rsidRPr="00580014">
        <w:rPr>
          <w:rFonts w:ascii="Times New Roman" w:eastAsiaTheme="minorEastAsia" w:hAnsi="Times New Roman" w:cs="Times New Roman"/>
          <w:sz w:val="24"/>
          <w:szCs w:val="24"/>
        </w:rPr>
        <w:t xml:space="preserve"> yields the equilibrium offer function:</w:t>
      </w:r>
    </w:p>
    <w:p w14:paraId="0F702C1E" w14:textId="77777777" w:rsidR="008D574E" w:rsidRPr="00580014" w:rsidRDefault="00F50392" w:rsidP="008D574E">
      <w:pPr>
        <w:spacing w:line="480" w:lineRule="auto"/>
        <w:rPr>
          <w:rFonts w:ascii="Times New Roman" w:eastAsiaTheme="minorEastAsia"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β</m:t>
              </m:r>
            </m:e>
            <m:sup>
              <m:r>
                <w:rPr>
                  <w:rFonts w:ascii="Cambria Math" w:hAnsi="Cambria Math" w:cs="Times New Roman"/>
                  <w:sz w:val="24"/>
                  <w:szCs w:val="24"/>
                </w:rPr>
                <m:t>*</m:t>
              </m:r>
            </m:sup>
          </m:sSup>
          <m:r>
            <w:rPr>
              <w:rFonts w:ascii="Cambria Math"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V+a</m:t>
              </m:r>
            </m:num>
            <m:den>
              <m:r>
                <w:rPr>
                  <w:rFonts w:ascii="Cambria Math" w:eastAsiaTheme="minorEastAsia" w:hAnsi="Cambria Math" w:cs="Times New Roman"/>
                  <w:sz w:val="24"/>
                  <w:szCs w:val="24"/>
                </w:rPr>
                <m:t>3</m:t>
              </m:r>
            </m:den>
          </m:f>
        </m:oMath>
      </m:oMathPara>
    </w:p>
    <w:p w14:paraId="5D5945FA" w14:textId="77777777" w:rsidR="008D574E" w:rsidRPr="00580014" w:rsidRDefault="008D574E" w:rsidP="008D574E">
      <w:pPr>
        <w:spacing w:line="480" w:lineRule="auto"/>
        <w:jc w:val="right"/>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(3)</w:t>
      </w:r>
    </w:p>
    <w:p w14:paraId="44DE61CF" w14:textId="77777777" w:rsidR="00B31E08" w:rsidRPr="00580014" w:rsidRDefault="00E20F4F">
      <w:pPr>
        <w:spacing w:line="480" w:lineRule="auto"/>
        <w:jc w:val="both"/>
        <w:rPr>
          <w:rFonts w:ascii="Times New Roman" w:eastAsiaTheme="minorEastAsia" w:hAnsi="Times New Roman" w:cs="Times New Roman"/>
          <w:sz w:val="24"/>
          <w:szCs w:val="24"/>
        </w:rPr>
      </w:pPr>
      <w:r w:rsidRPr="00580014">
        <w:rPr>
          <w:rFonts w:ascii="Times New Roman" w:hAnsi="Times New Roman" w:cs="Times New Roman"/>
          <w:sz w:val="24"/>
          <w:szCs w:val="24"/>
        </w:rPr>
        <w:t>(</w:t>
      </w:r>
      <w:r w:rsidR="008B50DC" w:rsidRPr="00580014">
        <w:rPr>
          <w:rFonts w:ascii="Times New Roman" w:hAnsi="Times New Roman" w:cs="Times New Roman"/>
          <w:sz w:val="24"/>
          <w:szCs w:val="24"/>
        </w:rPr>
        <w:t xml:space="preserve">Note that if </w:t>
      </w:r>
      <m:oMath>
        <m:r>
          <w:rPr>
            <w:rFonts w:ascii="Cambria Math" w:hAnsi="Cambria Math" w:cs="Times New Roman"/>
            <w:sz w:val="24"/>
            <w:szCs w:val="24"/>
          </w:rPr>
          <m:t>V&lt;2a</m:t>
        </m:r>
      </m:oMath>
      <w:r w:rsidR="008B50DC" w:rsidRPr="00580014">
        <w:rPr>
          <w:rFonts w:ascii="Times New Roman" w:eastAsiaTheme="minorEastAsia" w:hAnsi="Times New Roman" w:cs="Times New Roman"/>
          <w:sz w:val="24"/>
          <w:szCs w:val="24"/>
        </w:rPr>
        <w:t xml:space="preserve"> then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&lt;a</m:t>
        </m:r>
      </m:oMath>
      <w:r w:rsidR="008B50DC" w:rsidRPr="00580014">
        <w:rPr>
          <w:rFonts w:ascii="Times New Roman" w:eastAsiaTheme="minorEastAsia" w:hAnsi="Times New Roman" w:cs="Times New Roman"/>
          <w:sz w:val="24"/>
          <w:szCs w:val="24"/>
        </w:rPr>
        <w:t xml:space="preserve">, which would ensure that the sellers reject their offers.  We therefore focus on the case where </w:t>
      </w:r>
      <m:oMath>
        <m:r>
          <w:rPr>
            <w:rFonts w:ascii="Cambria Math" w:hAnsi="Cambria Math" w:cs="Times New Roman"/>
            <w:sz w:val="24"/>
            <w:szCs w:val="24"/>
          </w:rPr>
          <m:t>V≥2a</m:t>
        </m:r>
      </m:oMath>
      <w:r w:rsidR="008B50DC" w:rsidRPr="00580014">
        <w:rPr>
          <w:rFonts w:ascii="Times New Roman" w:eastAsiaTheme="minorEastAsia" w:hAnsi="Times New Roman" w:cs="Times New Roman"/>
          <w:sz w:val="24"/>
          <w:szCs w:val="24"/>
        </w:rPr>
        <w:t xml:space="preserve">, and set </w:t>
      </w:r>
      <m:oMath>
        <m:r>
          <w:rPr>
            <w:rFonts w:ascii="Cambria Math" w:eastAsiaTheme="minorEastAsia" w:hAnsi="Cambria Math" w:cs="Times New Roman"/>
            <w:sz w:val="24"/>
            <w:szCs w:val="24"/>
          </w:rPr>
          <m:t>A=2a</m:t>
        </m:r>
      </m:oMath>
      <w:r w:rsidR="008B50DC" w:rsidRPr="00580014">
        <w:rPr>
          <w:rFonts w:ascii="Times New Roman" w:eastAsiaTheme="minorEastAsia" w:hAnsi="Times New Roman" w:cs="Times New Roman"/>
          <w:sz w:val="24"/>
          <w:szCs w:val="24"/>
        </w:rPr>
        <w:t xml:space="preserve"> in our experiments.</w:t>
      </w:r>
      <w:r w:rsidRPr="00580014">
        <w:rPr>
          <w:rFonts w:ascii="Times New Roman" w:eastAsiaTheme="minorEastAsia" w:hAnsi="Times New Roman" w:cs="Times New Roman"/>
          <w:sz w:val="24"/>
          <w:szCs w:val="24"/>
        </w:rPr>
        <w:t>)</w:t>
      </w:r>
    </w:p>
    <w:p w14:paraId="225B21CF" w14:textId="77777777" w:rsidR="00B31E08" w:rsidRPr="00580014" w:rsidRDefault="008D574E">
      <w:pPr>
        <w:spacing w:line="480" w:lineRule="auto"/>
        <w:ind w:firstLine="720"/>
        <w:jc w:val="both"/>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 xml:space="preserve">Once we extend the number of bargaining periods to two or </w:t>
      </w:r>
      <w:r w:rsidR="00E700D9" w:rsidRPr="00580014">
        <w:rPr>
          <w:rFonts w:ascii="Times New Roman" w:eastAsiaTheme="minorEastAsia" w:hAnsi="Times New Roman" w:cs="Times New Roman"/>
          <w:sz w:val="24"/>
          <w:szCs w:val="24"/>
        </w:rPr>
        <w:t>more</w:t>
      </w:r>
      <w:r w:rsidRPr="00580014">
        <w:rPr>
          <w:rFonts w:ascii="Times New Roman" w:eastAsiaTheme="minorEastAsia" w:hAnsi="Times New Roman" w:cs="Times New Roman"/>
          <w:sz w:val="24"/>
          <w:szCs w:val="24"/>
        </w:rPr>
        <w:t xml:space="preserve"> it becomes difficult to succinctly model buyer behavior after the first period because his best strategy will depend on his beliefs about the sellers.  Suppose one or both sellers reject their offers in period one.  If the buyer believes that the sellers would only reject an offer that is below their value then in the second period he will incorporate any accepted offer into the first term of equation (1), substitute the first period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m:t>
            </m:r>
          </m:sup>
        </m:sSup>
      </m:oMath>
      <w:r w:rsidRPr="00580014">
        <w:rPr>
          <w:rFonts w:ascii="Times New Roman" w:eastAsiaTheme="minorEastAsia" w:hAnsi="Times New Roman" w:cs="Times New Roman"/>
          <w:sz w:val="24"/>
          <w:szCs w:val="24"/>
        </w:rPr>
        <w:t xml:space="preserve"> for </w:t>
      </w:r>
      <m:oMath>
        <m:r>
          <w:rPr>
            <w:rFonts w:ascii="Cambria Math" w:eastAsiaTheme="minorEastAsia" w:hAnsi="Cambria Math" w:cs="Times New Roman"/>
            <w:sz w:val="24"/>
            <w:szCs w:val="24"/>
          </w:rPr>
          <m:t>a</m:t>
        </m:r>
      </m:oMath>
      <w:r w:rsidRPr="00580014">
        <w:rPr>
          <w:rFonts w:ascii="Times New Roman" w:eastAsiaTheme="minorEastAsia" w:hAnsi="Times New Roman" w:cs="Times New Roman"/>
          <w:sz w:val="24"/>
          <w:szCs w:val="24"/>
        </w:rPr>
        <w:t xml:space="preserve"> in its second term and solve for the new equilibrium offer.  </w:t>
      </w:r>
      <w:r w:rsidR="00F63ED2" w:rsidRPr="00580014">
        <w:rPr>
          <w:rFonts w:ascii="Times New Roman" w:eastAsiaTheme="minorEastAsia" w:hAnsi="Times New Roman" w:cs="Times New Roman"/>
          <w:sz w:val="24"/>
          <w:szCs w:val="24"/>
        </w:rPr>
        <w:t>I</w:t>
      </w:r>
      <w:r w:rsidRPr="00580014">
        <w:rPr>
          <w:rFonts w:ascii="Times New Roman" w:eastAsiaTheme="minorEastAsia" w:hAnsi="Times New Roman" w:cs="Times New Roman"/>
          <w:sz w:val="24"/>
          <w:szCs w:val="24"/>
        </w:rPr>
        <w:t xml:space="preserve">f he believes that the first period offers exceeded the sellers’ values but they are holding out strategically, then he will </w:t>
      </w:r>
      <w:r w:rsidR="00F63ED2" w:rsidRPr="00580014">
        <w:rPr>
          <w:rFonts w:ascii="Times New Roman" w:eastAsiaTheme="minorEastAsia" w:hAnsi="Times New Roman" w:cs="Times New Roman"/>
          <w:sz w:val="24"/>
          <w:szCs w:val="24"/>
        </w:rPr>
        <w:t>not change his offers in the second period</w:t>
      </w:r>
      <w:r w:rsidRPr="00580014">
        <w:rPr>
          <w:rFonts w:ascii="Times New Roman" w:eastAsiaTheme="minorEastAsia" w:hAnsi="Times New Roman" w:cs="Times New Roman"/>
          <w:sz w:val="24"/>
          <w:szCs w:val="24"/>
        </w:rPr>
        <w:t>.  A third possibility is that the buyer places a non-zero probability on the sellers rejecting strategically, in which case he will revise his second period offer(s) upward, but by a smaller amount than if he believed them to be sincere.</w:t>
      </w:r>
    </w:p>
    <w:p w14:paraId="1D2CD359" w14:textId="77777777" w:rsidR="00B31E08" w:rsidRPr="00580014" w:rsidRDefault="008D574E">
      <w:pPr>
        <w:spacing w:line="480" w:lineRule="auto"/>
        <w:ind w:firstLine="720"/>
        <w:jc w:val="both"/>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 xml:space="preserve">In their turn, the sellers’ behavior will depend on their beliefs about the buyers’ beliefs.  If they believe him to think they </w:t>
      </w:r>
      <w:r w:rsidR="00F63ED2" w:rsidRPr="00580014">
        <w:rPr>
          <w:rFonts w:ascii="Times New Roman" w:eastAsiaTheme="minorEastAsia" w:hAnsi="Times New Roman" w:cs="Times New Roman"/>
          <w:sz w:val="24"/>
          <w:szCs w:val="24"/>
        </w:rPr>
        <w:t>are strategic</w:t>
      </w:r>
      <w:r w:rsidRPr="00580014">
        <w:rPr>
          <w:rFonts w:ascii="Times New Roman" w:eastAsiaTheme="minorEastAsia" w:hAnsi="Times New Roman" w:cs="Times New Roman"/>
          <w:sz w:val="24"/>
          <w:szCs w:val="24"/>
        </w:rPr>
        <w:t xml:space="preserve">, then strategic holdout will not be profitable because it will incur the delay cost </w:t>
      </w:r>
      <m:oMath>
        <m:r>
          <w:rPr>
            <w:rFonts w:ascii="Cambria Math" w:eastAsiaTheme="minorEastAsia" w:hAnsi="Cambria Math" w:cs="Times New Roman"/>
            <w:sz w:val="24"/>
            <w:szCs w:val="24"/>
          </w:rPr>
          <m:t>δ</m:t>
        </m:r>
      </m:oMath>
      <w:r w:rsidRPr="00580014">
        <w:rPr>
          <w:rFonts w:ascii="Times New Roman" w:eastAsiaTheme="minorEastAsia" w:hAnsi="Times New Roman" w:cs="Times New Roman"/>
          <w:sz w:val="24"/>
          <w:szCs w:val="24"/>
        </w:rPr>
        <w:t xml:space="preserve"> without increasing the buyer’s offers in period two.  If they believe him to think they will only reject sincerely – i.e., reject offers below their values – they will hold out in period one so long as the difference in equilibrium offers is greater than </w:t>
      </w:r>
      <m:oMath>
        <m: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oMath>
      <w:r w:rsidRPr="00580014">
        <w:rPr>
          <w:rFonts w:ascii="Times New Roman" w:eastAsiaTheme="minorEastAsia" w:hAnsi="Times New Roman" w:cs="Times New Roman"/>
          <w:sz w:val="24"/>
          <w:szCs w:val="24"/>
        </w:rPr>
        <w:t>.</w:t>
      </w:r>
    </w:p>
    <w:p w14:paraId="5BB4CC4E" w14:textId="77777777" w:rsidR="00B31E08" w:rsidRPr="00580014" w:rsidRDefault="008D574E">
      <w:pPr>
        <w:spacing w:line="480" w:lineRule="auto"/>
        <w:ind w:firstLine="720"/>
        <w:jc w:val="both"/>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 xml:space="preserve">The multiplicity of equilibria implies that we cannot predict behavior in our experiments beyond period one with any confidence without knowing the beliefs of the agents.  However, earlier empirical work by </w:t>
      </w:r>
      <w:r w:rsidR="00E17DB2" w:rsidRPr="00580014">
        <w:rPr>
          <w:rFonts w:ascii="Times New Roman" w:eastAsiaTheme="minorEastAsia" w:hAnsi="Times New Roman" w:cs="Times New Roman"/>
          <w:sz w:val="24"/>
          <w:szCs w:val="24"/>
        </w:rPr>
        <w:t>Zillante, Read and</w:t>
      </w:r>
      <w:r w:rsidRPr="00580014">
        <w:rPr>
          <w:rFonts w:ascii="Times New Roman" w:eastAsiaTheme="minorEastAsia" w:hAnsi="Times New Roman" w:cs="Times New Roman"/>
          <w:sz w:val="24"/>
          <w:szCs w:val="24"/>
        </w:rPr>
        <w:t xml:space="preserve"> Schwarz </w:t>
      </w:r>
      <w:r w:rsidR="00EE31A7" w:rsidRPr="00580014">
        <w:rPr>
          <w:rFonts w:ascii="Times New Roman" w:eastAsiaTheme="minorEastAsia" w:hAnsi="Times New Roman" w:cs="Times New Roman"/>
          <w:sz w:val="24"/>
          <w:szCs w:val="24"/>
        </w:rPr>
        <w:t>(2014</w:t>
      </w:r>
      <w:r w:rsidRPr="00580014">
        <w:rPr>
          <w:rFonts w:ascii="Times New Roman" w:eastAsiaTheme="minorEastAsia" w:hAnsi="Times New Roman" w:cs="Times New Roman"/>
          <w:sz w:val="24"/>
          <w:szCs w:val="24"/>
        </w:rPr>
        <w:t>) and Shupp, et al. (201</w:t>
      </w:r>
      <w:r w:rsidR="00FA1909" w:rsidRPr="00580014">
        <w:rPr>
          <w:rFonts w:ascii="Times New Roman" w:eastAsiaTheme="minorEastAsia" w:hAnsi="Times New Roman" w:cs="Times New Roman"/>
          <w:sz w:val="24"/>
          <w:szCs w:val="24"/>
        </w:rPr>
        <w:t>3</w:t>
      </w:r>
      <w:r w:rsidRPr="00580014">
        <w:rPr>
          <w:rFonts w:ascii="Times New Roman" w:eastAsiaTheme="minorEastAsia" w:hAnsi="Times New Roman" w:cs="Times New Roman"/>
          <w:sz w:val="24"/>
          <w:szCs w:val="24"/>
        </w:rPr>
        <w:t xml:space="preserve">) suggests that offers will rise over time.  For </w:t>
      </w:r>
      <w:r w:rsidR="00984681" w:rsidRPr="00580014">
        <w:rPr>
          <w:rFonts w:ascii="Times New Roman" w:eastAsiaTheme="minorEastAsia" w:hAnsi="Times New Roman" w:cs="Times New Roman"/>
          <w:sz w:val="24"/>
          <w:szCs w:val="24"/>
        </w:rPr>
        <w:t>the current study</w:t>
      </w:r>
      <w:r w:rsidRPr="00580014">
        <w:rPr>
          <w:rFonts w:ascii="Times New Roman" w:eastAsiaTheme="minorEastAsia" w:hAnsi="Times New Roman" w:cs="Times New Roman"/>
          <w:sz w:val="24"/>
          <w:szCs w:val="24"/>
        </w:rPr>
        <w:t xml:space="preserve"> we will use the equilibrium offer function as a benchmark for buyer offers in the first period.</w:t>
      </w:r>
    </w:p>
    <w:p w14:paraId="420EB769" w14:textId="77777777" w:rsidR="008D574E" w:rsidRPr="00580014" w:rsidRDefault="008D574E" w:rsidP="00DE73D0">
      <w:pPr>
        <w:rPr>
          <w:rFonts w:ascii="Times New Roman" w:eastAsiaTheme="minorEastAsia" w:hAnsi="Times New Roman" w:cs="Times New Roman"/>
          <w:i/>
          <w:sz w:val="24"/>
          <w:szCs w:val="24"/>
        </w:rPr>
      </w:pPr>
      <w:r w:rsidRPr="00580014">
        <w:rPr>
          <w:rFonts w:ascii="Times New Roman" w:eastAsiaTheme="minorEastAsia" w:hAnsi="Times New Roman" w:cs="Times New Roman"/>
          <w:i/>
          <w:sz w:val="24"/>
          <w:szCs w:val="24"/>
        </w:rPr>
        <w:t>C. Secure Property with a Substitute Parcel</w:t>
      </w:r>
    </w:p>
    <w:p w14:paraId="499F0046" w14:textId="77777777" w:rsidR="00B31E08" w:rsidRPr="00580014" w:rsidRDefault="008D574E">
      <w:pPr>
        <w:spacing w:line="480" w:lineRule="auto"/>
        <w:jc w:val="both"/>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ab/>
      </w:r>
      <w:r w:rsidR="00800FED" w:rsidRPr="00580014">
        <w:rPr>
          <w:rFonts w:ascii="Times New Roman" w:eastAsiaTheme="minorEastAsia" w:hAnsi="Times New Roman" w:cs="Times New Roman"/>
          <w:sz w:val="24"/>
          <w:szCs w:val="24"/>
        </w:rPr>
        <w:t>Now suppose</w:t>
      </w:r>
      <w:r w:rsidRPr="00580014">
        <w:rPr>
          <w:rFonts w:ascii="Times New Roman" w:eastAsiaTheme="minorEastAsia" w:hAnsi="Times New Roman" w:cs="Times New Roman"/>
          <w:sz w:val="24"/>
          <w:szCs w:val="24"/>
        </w:rPr>
        <w:t xml:space="preserve"> the buyer faces the two sellers as above, but also has the option of buying a substitute parcel of land.  For clarity, in this section we will refer to the two fragmented parcels as the “primary parcels” and their owners as the “primary sellers.”  We will refer to the owner of the substitute parcel as the “alternative seller.”  The buyer’s WTP for the substitute parcel is </w:t>
      </w:r>
      <m:oMath>
        <m:r>
          <w:rPr>
            <w:rFonts w:ascii="Cambria Math" w:eastAsiaTheme="minorEastAsia" w:hAnsi="Cambria Math" w:cs="Times New Roman"/>
            <w:sz w:val="24"/>
            <w:szCs w:val="24"/>
          </w:rPr>
          <m:t>θV</m:t>
        </m:r>
      </m:oMath>
      <w:r w:rsidRPr="00580014">
        <w:rPr>
          <w:rFonts w:ascii="Times New Roman" w:eastAsiaTheme="minorEastAsia" w:hAnsi="Times New Roman" w:cs="Times New Roman"/>
          <w:sz w:val="24"/>
          <w:szCs w:val="24"/>
        </w:rPr>
        <w:t xml:space="preserve">, where </w:t>
      </w:r>
      <m:oMath>
        <m:r>
          <w:rPr>
            <w:rFonts w:ascii="Cambria Math" w:eastAsiaTheme="minorEastAsia" w:hAnsi="Cambria Math" w:cs="Times New Roman"/>
            <w:sz w:val="24"/>
            <w:szCs w:val="24"/>
          </w:rPr>
          <m:t>θ∈</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0,1</m:t>
            </m:r>
          </m:e>
        </m:d>
      </m:oMath>
      <w:r w:rsidRPr="00580014">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V</m:t>
        </m:r>
      </m:oMath>
      <w:r w:rsidRPr="00580014">
        <w:rPr>
          <w:rFonts w:ascii="Times New Roman" w:eastAsiaTheme="minorEastAsia" w:hAnsi="Times New Roman" w:cs="Times New Roman"/>
          <w:sz w:val="24"/>
          <w:szCs w:val="24"/>
        </w:rPr>
        <w:t xml:space="preserve"> is his WTP for the two primary parcels, as above.  The substitute parcel is of no additional value to the buyer if he purchases both of the primary parcels.  He wishes either to assemble the primary parcels or to purchase the substitute parcel, but not both.</w:t>
      </w:r>
    </w:p>
    <w:p w14:paraId="73DA620E" w14:textId="77777777" w:rsidR="00B31E08" w:rsidRPr="00580014" w:rsidRDefault="008D574E">
      <w:pPr>
        <w:spacing w:line="480" w:lineRule="auto"/>
        <w:ind w:firstLine="720"/>
        <w:jc w:val="both"/>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 xml:space="preserve">The alternative seller has a valuation for his parcel,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a</m:t>
            </m:r>
          </m:sub>
        </m:sSub>
      </m:oMath>
      <w:r w:rsidRPr="00580014">
        <w:rPr>
          <w:rFonts w:ascii="Times New Roman" w:eastAsiaTheme="minorEastAsia" w:hAnsi="Times New Roman" w:cs="Times New Roman"/>
          <w:sz w:val="24"/>
          <w:szCs w:val="24"/>
        </w:rPr>
        <w:t xml:space="preserve">, that is drawn from the uniform distribution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2θa,2θb</m:t>
            </m:r>
          </m:e>
        </m:d>
      </m:oMath>
      <w:r w:rsidRPr="00580014">
        <w:rPr>
          <w:rFonts w:ascii="Times New Roman" w:eastAsiaTheme="minorEastAsia" w:hAnsi="Times New Roman" w:cs="Times New Roman"/>
          <w:sz w:val="24"/>
          <w:szCs w:val="24"/>
        </w:rPr>
        <w:t xml:space="preserve"> with mean </w:t>
      </w:r>
      <m:oMath>
        <m:r>
          <w:rPr>
            <w:rFonts w:ascii="Cambria Math" w:eastAsiaTheme="minorEastAsia" w:hAnsi="Cambria Math" w:cs="Times New Roman"/>
            <w:sz w:val="24"/>
            <w:szCs w:val="24"/>
          </w:rPr>
          <m:t>2θm</m:t>
        </m:r>
      </m:oMath>
      <w:r w:rsidRPr="00580014">
        <w:rPr>
          <w:rFonts w:ascii="Times New Roman" w:eastAsiaTheme="minorEastAsia" w:hAnsi="Times New Roman" w:cs="Times New Roman"/>
          <w:sz w:val="24"/>
          <w:szCs w:val="24"/>
        </w:rPr>
        <w:t xml:space="preserve">.  Notice that the expected surplus from assembling the primary parcels is </w:t>
      </w:r>
      <m:oMath>
        <m:r>
          <w:rPr>
            <w:rFonts w:ascii="Cambria Math" w:eastAsiaTheme="minorEastAsia" w:hAnsi="Cambria Math" w:cs="Times New Roman"/>
            <w:sz w:val="24"/>
            <w:szCs w:val="24"/>
          </w:rPr>
          <m:t>M-2m</m:t>
        </m:r>
      </m:oMath>
      <w:r w:rsidRPr="00580014">
        <w:rPr>
          <w:rFonts w:ascii="Times New Roman" w:eastAsiaTheme="minorEastAsia" w:hAnsi="Times New Roman" w:cs="Times New Roman"/>
          <w:sz w:val="24"/>
          <w:szCs w:val="24"/>
        </w:rPr>
        <w:t xml:space="preserve">, while the expected surplus from buying the substitute parcel is </w:t>
      </w:r>
      <m:oMath>
        <m:r>
          <w:rPr>
            <w:rFonts w:ascii="Cambria Math" w:eastAsiaTheme="minorEastAsia" w:hAnsi="Cambria Math" w:cs="Times New Roman"/>
            <w:sz w:val="24"/>
            <w:szCs w:val="24"/>
          </w:rPr>
          <m:t>θ</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M-2m</m:t>
            </m:r>
          </m:e>
        </m:d>
      </m:oMath>
      <w:r w:rsidRPr="00580014">
        <w:rPr>
          <w:rFonts w:ascii="Times New Roman" w:eastAsiaTheme="minorEastAsia" w:hAnsi="Times New Roman" w:cs="Times New Roman"/>
          <w:sz w:val="24"/>
          <w:szCs w:val="24"/>
        </w:rPr>
        <w:t>, so purchasing the substitute parcel will not be socially optimal on average.</w:t>
      </w:r>
    </w:p>
    <w:p w14:paraId="1BF0B11E" w14:textId="77777777" w:rsidR="00B31E08" w:rsidRPr="00580014" w:rsidRDefault="008D574E">
      <w:pPr>
        <w:spacing w:line="480" w:lineRule="auto"/>
        <w:ind w:firstLine="720"/>
        <w:jc w:val="both"/>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 xml:space="preserve">We again begin with the simple one-period model.  We assume that negotiation proceeds as follows.  First, the buyer </w:t>
      </w:r>
      <w:r w:rsidR="005D4C13" w:rsidRPr="00580014">
        <w:rPr>
          <w:rFonts w:ascii="Times New Roman" w:eastAsiaTheme="minorEastAsia" w:hAnsi="Times New Roman" w:cs="Times New Roman"/>
          <w:sz w:val="24"/>
          <w:szCs w:val="24"/>
        </w:rPr>
        <w:t xml:space="preserve">makes </w:t>
      </w:r>
      <w:r w:rsidRPr="00580014">
        <w:rPr>
          <w:rFonts w:ascii="Times New Roman" w:eastAsiaTheme="minorEastAsia" w:hAnsi="Times New Roman" w:cs="Times New Roman"/>
          <w:sz w:val="24"/>
          <w:szCs w:val="24"/>
        </w:rPr>
        <w:t xml:space="preserve">his offers to the primary sellers as above.  If one or both of them reject his offer, the buyer then submits an offer to the alternative seller.  If he is forced to make an offer to the alternative seller, his alternative profit,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π</m:t>
            </m:r>
          </m:e>
          <m:sub>
            <m:r>
              <w:rPr>
                <w:rFonts w:ascii="Cambria Math" w:eastAsiaTheme="minorEastAsia" w:hAnsi="Cambria Math" w:cs="Times New Roman"/>
                <w:sz w:val="24"/>
                <w:szCs w:val="24"/>
              </w:rPr>
              <m:t>a</m:t>
            </m:r>
          </m:sub>
        </m:sSub>
      </m:oMath>
      <w:r w:rsidRPr="00580014">
        <w:rPr>
          <w:rFonts w:ascii="Times New Roman" w:eastAsiaTheme="minorEastAsia" w:hAnsi="Times New Roman" w:cs="Times New Roman"/>
          <w:sz w:val="24"/>
          <w:szCs w:val="24"/>
        </w:rPr>
        <w:t xml:space="preserve">, will be a function of his WTP for the substitute parcel and his offer to the alternative seller,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a</m:t>
            </m:r>
          </m:sub>
        </m:sSub>
      </m:oMath>
      <w:r w:rsidRPr="00580014">
        <w:rPr>
          <w:rFonts w:ascii="Times New Roman" w:eastAsiaTheme="minorEastAsia" w:hAnsi="Times New Roman" w:cs="Times New Roman"/>
          <w:sz w:val="24"/>
          <w:szCs w:val="24"/>
        </w:rPr>
        <w:t>.  The expected profit function is therefore:</w:t>
      </w:r>
    </w:p>
    <w:p w14:paraId="7BC79374" w14:textId="77777777" w:rsidR="008D574E" w:rsidRPr="00580014" w:rsidRDefault="008D574E" w:rsidP="008D574E">
      <w:pPr>
        <w:spacing w:line="48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E</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π</m:t>
                  </m:r>
                </m:e>
                <m:sub>
                  <m:r>
                    <w:rPr>
                      <w:rFonts w:ascii="Cambria Math" w:eastAsiaTheme="minorEastAsia" w:hAnsi="Cambria Math" w:cs="Times New Roman"/>
                      <w:sz w:val="24"/>
                      <w:szCs w:val="24"/>
                    </w:rPr>
                    <m:t>a</m:t>
                  </m:r>
                </m:sub>
              </m:sSub>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θV-</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a</m:t>
                  </m:r>
                </m:sub>
              </m:sSub>
            </m:e>
          </m:d>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-2θa</m:t>
                  </m:r>
                </m:num>
                <m:den>
                  <m:r>
                    <w:rPr>
                      <w:rFonts w:ascii="Cambria Math" w:eastAsiaTheme="minorEastAsia" w:hAnsi="Cambria Math" w:cs="Times New Roman"/>
                      <w:sz w:val="24"/>
                      <w:szCs w:val="24"/>
                    </w:rPr>
                    <m:t>2θ</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b-a</m:t>
                      </m:r>
                    </m:e>
                  </m:d>
                </m:den>
              </m:f>
            </m:e>
          </m:d>
        </m:oMath>
      </m:oMathPara>
    </w:p>
    <w:p w14:paraId="3270B4E4" w14:textId="77777777" w:rsidR="008D574E" w:rsidRPr="00580014" w:rsidRDefault="008D574E" w:rsidP="008D574E">
      <w:pPr>
        <w:spacing w:line="480" w:lineRule="auto"/>
        <w:jc w:val="right"/>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(4)</w:t>
      </w:r>
    </w:p>
    <w:p w14:paraId="28D84A19" w14:textId="77777777" w:rsidR="008D574E" w:rsidRPr="00580014" w:rsidRDefault="008D574E" w:rsidP="008D574E">
      <w:pPr>
        <w:spacing w:line="480" w:lineRule="auto"/>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The first order condition to maximize (4) is given by:</w:t>
      </w:r>
    </w:p>
    <w:p w14:paraId="0C9F6E90" w14:textId="77777777" w:rsidR="008D574E" w:rsidRPr="00580014" w:rsidRDefault="008D574E" w:rsidP="008D574E">
      <w:pPr>
        <w:spacing w:line="48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-2θa</m:t>
                  </m:r>
                </m:num>
                <m:den>
                  <m:r>
                    <w:rPr>
                      <w:rFonts w:ascii="Cambria Math" w:eastAsiaTheme="minorEastAsia" w:hAnsi="Cambria Math" w:cs="Times New Roman"/>
                      <w:sz w:val="24"/>
                      <w:szCs w:val="24"/>
                    </w:rPr>
                    <m:t>2θ</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b-a</m:t>
                      </m:r>
                    </m:e>
                  </m:d>
                </m:den>
              </m:f>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θV-</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a</m:t>
                  </m:r>
                </m:sub>
              </m:sSub>
            </m:e>
          </m:d>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2θ</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b-a</m:t>
                      </m:r>
                    </m:e>
                  </m:d>
                </m:den>
              </m:f>
            </m:e>
          </m:d>
          <m:r>
            <w:rPr>
              <w:rFonts w:ascii="Cambria Math" w:eastAsiaTheme="minorEastAsia" w:hAnsi="Cambria Math" w:cs="Times New Roman"/>
              <w:sz w:val="24"/>
              <w:szCs w:val="24"/>
            </w:rPr>
            <m:t>=0</m:t>
          </m:r>
        </m:oMath>
      </m:oMathPara>
    </w:p>
    <w:p w14:paraId="5B6136BE" w14:textId="77777777" w:rsidR="008D574E" w:rsidRPr="00580014" w:rsidRDefault="008D574E" w:rsidP="008D574E">
      <w:pPr>
        <w:spacing w:line="480" w:lineRule="auto"/>
        <w:jc w:val="right"/>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(5)</w:t>
      </w:r>
    </w:p>
    <w:p w14:paraId="3B7E0C36" w14:textId="77777777" w:rsidR="008D574E" w:rsidRPr="00580014" w:rsidRDefault="008D574E" w:rsidP="008D574E">
      <w:pPr>
        <w:spacing w:line="480" w:lineRule="auto"/>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 xml:space="preserve">Solving for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a</m:t>
            </m:r>
          </m:sub>
        </m:sSub>
      </m:oMath>
      <w:r w:rsidRPr="00580014">
        <w:rPr>
          <w:rFonts w:ascii="Times New Roman" w:eastAsiaTheme="minorEastAsia" w:hAnsi="Times New Roman" w:cs="Times New Roman"/>
          <w:sz w:val="24"/>
          <w:szCs w:val="24"/>
        </w:rPr>
        <w:t xml:space="preserve"> yields the equilibrium alternative bid function:</w:t>
      </w:r>
    </w:p>
    <w:p w14:paraId="6DA750C0" w14:textId="77777777" w:rsidR="008D574E" w:rsidRPr="00580014" w:rsidRDefault="00F50392" w:rsidP="008D574E">
      <w:pPr>
        <w:spacing w:line="480" w:lineRule="auto"/>
        <w:rPr>
          <w:rFonts w:ascii="Times New Roman" w:eastAsiaTheme="minorEastAsia" w:hAnsi="Times New Roman" w:cs="Times New Roman"/>
          <w:sz w:val="24"/>
          <w:szCs w:val="24"/>
        </w:rPr>
      </w:pPr>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a</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θ</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V+2a</m:t>
                  </m:r>
                </m:e>
              </m:d>
            </m:num>
            <m:den>
              <m:r>
                <w:rPr>
                  <w:rFonts w:ascii="Cambria Math" w:eastAsiaTheme="minorEastAsia" w:hAnsi="Cambria Math" w:cs="Times New Roman"/>
                  <w:sz w:val="24"/>
                  <w:szCs w:val="24"/>
                </w:rPr>
                <m:t>2</m:t>
              </m:r>
            </m:den>
          </m:f>
        </m:oMath>
      </m:oMathPara>
    </w:p>
    <w:p w14:paraId="46D1CD7C" w14:textId="77777777" w:rsidR="008D574E" w:rsidRPr="00580014" w:rsidRDefault="008D574E" w:rsidP="008D574E">
      <w:pPr>
        <w:spacing w:line="480" w:lineRule="auto"/>
        <w:jc w:val="right"/>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(6)</w:t>
      </w:r>
    </w:p>
    <w:p w14:paraId="79C4F213" w14:textId="77777777" w:rsidR="008D574E" w:rsidRPr="00580014" w:rsidRDefault="008D574E" w:rsidP="008D574E">
      <w:pPr>
        <w:spacing w:line="480" w:lineRule="auto"/>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Substituting (6) into (4) gives us the expected profit in equilibrium:</w:t>
      </w:r>
    </w:p>
    <w:p w14:paraId="1387AF8D" w14:textId="77777777" w:rsidR="008D574E" w:rsidRPr="00580014" w:rsidRDefault="008D574E" w:rsidP="008D574E">
      <w:pPr>
        <w:spacing w:line="48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E</m:t>
          </m:r>
          <m:d>
            <m:dPr>
              <m:ctrlPr>
                <w:rPr>
                  <w:rFonts w:ascii="Cambria Math" w:eastAsiaTheme="minorEastAsia" w:hAnsi="Cambria Math" w:cs="Times New Roman"/>
                  <w:i/>
                  <w:sz w:val="24"/>
                  <w:szCs w:val="24"/>
                </w:rPr>
              </m:ctrlPr>
            </m:d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π</m:t>
                  </m:r>
                </m:e>
                <m:sub>
                  <m:r>
                    <w:rPr>
                      <w:rFonts w:ascii="Cambria Math" w:eastAsiaTheme="minorEastAsia" w:hAnsi="Cambria Math" w:cs="Times New Roman"/>
                      <w:sz w:val="24"/>
                      <w:szCs w:val="24"/>
                    </w:rPr>
                    <m:t>a</m:t>
                  </m:r>
                </m:sub>
                <m:sup>
                  <m:r>
                    <w:rPr>
                      <w:rFonts w:ascii="Cambria Math" w:eastAsiaTheme="minorEastAsia" w:hAnsi="Cambria Math" w:cs="Times New Roman"/>
                      <w:sz w:val="24"/>
                      <w:szCs w:val="24"/>
                    </w:rPr>
                    <m:t>*</m:t>
                  </m:r>
                </m:sup>
              </m:sSubSup>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θ</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V-2a</m:t>
                          </m:r>
                        </m:num>
                        <m:den>
                          <m:r>
                            <w:rPr>
                              <w:rFonts w:ascii="Cambria Math" w:eastAsiaTheme="minorEastAsia" w:hAnsi="Cambria Math" w:cs="Times New Roman"/>
                              <w:sz w:val="24"/>
                              <w:szCs w:val="24"/>
                            </w:rPr>
                            <m:t>2</m:t>
                          </m:r>
                        </m:den>
                      </m:f>
                    </m:e>
                  </m:d>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2</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b-a</m:t>
                  </m:r>
                </m:e>
              </m:d>
            </m:den>
          </m:f>
        </m:oMath>
      </m:oMathPara>
    </w:p>
    <w:p w14:paraId="57667662" w14:textId="77777777" w:rsidR="008D574E" w:rsidRPr="00580014" w:rsidRDefault="008D574E" w:rsidP="008D574E">
      <w:pPr>
        <w:spacing w:line="480" w:lineRule="auto"/>
        <w:jc w:val="right"/>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(7)</w:t>
      </w:r>
    </w:p>
    <w:p w14:paraId="10D8765B" w14:textId="77777777" w:rsidR="00B31E08" w:rsidRPr="00580014" w:rsidRDefault="008D574E">
      <w:pPr>
        <w:spacing w:line="480" w:lineRule="auto"/>
        <w:ind w:firstLine="720"/>
        <w:jc w:val="both"/>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 xml:space="preserve">Given that failing to assemble the primary parcels will still generate an expected profit of </w:t>
      </w:r>
      <m:oMath>
        <m:r>
          <w:rPr>
            <w:rFonts w:ascii="Cambria Math" w:eastAsiaTheme="minorEastAsia" w:hAnsi="Cambria Math" w:cs="Times New Roman"/>
            <w:sz w:val="24"/>
            <w:szCs w:val="24"/>
          </w:rPr>
          <m:t>E</m:t>
        </m:r>
        <m:d>
          <m:dPr>
            <m:ctrlPr>
              <w:rPr>
                <w:rFonts w:ascii="Cambria Math" w:eastAsiaTheme="minorEastAsia" w:hAnsi="Cambria Math" w:cs="Times New Roman"/>
                <w:i/>
                <w:sz w:val="24"/>
                <w:szCs w:val="24"/>
              </w:rPr>
            </m:ctrlPr>
          </m:d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π</m:t>
                </m:r>
              </m:e>
              <m:sub>
                <m:r>
                  <w:rPr>
                    <w:rFonts w:ascii="Cambria Math" w:eastAsiaTheme="minorEastAsia" w:hAnsi="Cambria Math" w:cs="Times New Roman"/>
                    <w:sz w:val="24"/>
                    <w:szCs w:val="24"/>
                  </w:rPr>
                  <m:t>a</m:t>
                </m:r>
              </m:sub>
              <m:sup>
                <m:r>
                  <w:rPr>
                    <w:rFonts w:ascii="Cambria Math" w:eastAsiaTheme="minorEastAsia" w:hAnsi="Cambria Math" w:cs="Times New Roman"/>
                    <w:sz w:val="24"/>
                    <w:szCs w:val="24"/>
                  </w:rPr>
                  <m:t>*</m:t>
                </m:r>
              </m:sup>
            </m:sSubSup>
          </m:e>
        </m:d>
      </m:oMath>
      <w:r w:rsidRPr="00580014">
        <w:rPr>
          <w:rFonts w:ascii="Times New Roman" w:eastAsiaTheme="minorEastAsia" w:hAnsi="Times New Roman" w:cs="Times New Roman"/>
          <w:sz w:val="24"/>
          <w:szCs w:val="24"/>
        </w:rPr>
        <w:t>, the buyer’s expected profit when he</w:t>
      </w:r>
      <w:r w:rsidR="000F48B0">
        <w:rPr>
          <w:rFonts w:ascii="Times New Roman" w:eastAsiaTheme="minorEastAsia" w:hAnsi="Times New Roman" w:cs="Times New Roman"/>
          <w:sz w:val="24"/>
          <w:szCs w:val="24"/>
        </w:rPr>
        <w:t xml:space="preserve"> is</w:t>
      </w:r>
      <w:r w:rsidRPr="00580014">
        <w:rPr>
          <w:rFonts w:ascii="Times New Roman" w:eastAsiaTheme="minorEastAsia" w:hAnsi="Times New Roman" w:cs="Times New Roman"/>
          <w:sz w:val="24"/>
          <w:szCs w:val="24"/>
        </w:rPr>
        <w:t xml:space="preserve"> </w:t>
      </w:r>
      <w:r w:rsidR="005D4C13" w:rsidRPr="00580014">
        <w:rPr>
          <w:rFonts w:ascii="Times New Roman" w:eastAsiaTheme="minorEastAsia" w:hAnsi="Times New Roman" w:cs="Times New Roman"/>
          <w:sz w:val="24"/>
          <w:szCs w:val="24"/>
        </w:rPr>
        <w:t>making an</w:t>
      </w:r>
      <w:r w:rsidRPr="00580014">
        <w:rPr>
          <w:rFonts w:ascii="Times New Roman" w:eastAsiaTheme="minorEastAsia" w:hAnsi="Times New Roman" w:cs="Times New Roman"/>
          <w:sz w:val="24"/>
          <w:szCs w:val="24"/>
        </w:rPr>
        <w:t xml:space="preserve"> offer </w:t>
      </w:r>
      <w:r w:rsidR="005D4C13" w:rsidRPr="00580014">
        <w:rPr>
          <w:rFonts w:ascii="Times New Roman" w:eastAsiaTheme="minorEastAsia" w:hAnsi="Times New Roman" w:cs="Times New Roman"/>
          <w:sz w:val="24"/>
          <w:szCs w:val="24"/>
        </w:rPr>
        <w:t xml:space="preserve">to </w:t>
      </w:r>
      <w:r w:rsidRPr="00580014">
        <w:rPr>
          <w:rFonts w:ascii="Times New Roman" w:eastAsiaTheme="minorEastAsia" w:hAnsi="Times New Roman" w:cs="Times New Roman"/>
          <w:sz w:val="24"/>
          <w:szCs w:val="24"/>
        </w:rPr>
        <w:t>the primary sellers is now:</w:t>
      </w:r>
    </w:p>
    <w:p w14:paraId="5B4131FC" w14:textId="77777777" w:rsidR="008D574E" w:rsidRPr="00580014" w:rsidRDefault="008D574E" w:rsidP="008D574E">
      <w:pPr>
        <w:spacing w:line="480" w:lineRule="auto"/>
        <w:ind w:firstLine="720"/>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E</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π</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V-2β</m:t>
              </m:r>
            </m:e>
          </m:d>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β-a</m:t>
                      </m:r>
                    </m:num>
                    <m:den>
                      <m:r>
                        <w:rPr>
                          <w:rFonts w:ascii="Cambria Math" w:eastAsiaTheme="minorEastAsia" w:hAnsi="Cambria Math" w:cs="Times New Roman"/>
                          <w:sz w:val="24"/>
                          <w:szCs w:val="24"/>
                        </w:rPr>
                        <m:t>b-a</m:t>
                      </m:r>
                    </m:den>
                  </m:f>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+E</m:t>
          </m:r>
          <m:d>
            <m:dPr>
              <m:ctrlPr>
                <w:rPr>
                  <w:rFonts w:ascii="Cambria Math" w:eastAsiaTheme="minorEastAsia" w:hAnsi="Cambria Math" w:cs="Times New Roman"/>
                  <w:i/>
                  <w:sz w:val="24"/>
                  <w:szCs w:val="24"/>
                </w:rPr>
              </m:ctrlPr>
            </m:d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π</m:t>
                  </m:r>
                </m:e>
                <m:sub>
                  <m:r>
                    <w:rPr>
                      <w:rFonts w:ascii="Cambria Math" w:eastAsiaTheme="minorEastAsia" w:hAnsi="Cambria Math" w:cs="Times New Roman"/>
                      <w:sz w:val="24"/>
                      <w:szCs w:val="24"/>
                    </w:rPr>
                    <m:t>a</m:t>
                  </m:r>
                </m:sub>
                <m:sup>
                  <m:r>
                    <w:rPr>
                      <w:rFonts w:ascii="Cambria Math" w:eastAsiaTheme="minorEastAsia" w:hAnsi="Cambria Math" w:cs="Times New Roman"/>
                      <w:sz w:val="24"/>
                      <w:szCs w:val="24"/>
                    </w:rPr>
                    <m:t>*</m:t>
                  </m:r>
                </m:sup>
              </m:sSubSup>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β-a</m:t>
                          </m:r>
                        </m:num>
                        <m:den>
                          <m:r>
                            <w:rPr>
                              <w:rFonts w:ascii="Cambria Math" w:eastAsiaTheme="minorEastAsia" w:hAnsi="Cambria Math" w:cs="Times New Roman"/>
                              <w:sz w:val="24"/>
                              <w:szCs w:val="24"/>
                            </w:rPr>
                            <m:t>b-a</m:t>
                          </m:r>
                        </m:den>
                      </m:f>
                    </m:e>
                  </m:d>
                </m:e>
                <m:sup>
                  <m:r>
                    <w:rPr>
                      <w:rFonts w:ascii="Cambria Math" w:eastAsiaTheme="minorEastAsia" w:hAnsi="Cambria Math" w:cs="Times New Roman"/>
                      <w:sz w:val="24"/>
                      <w:szCs w:val="24"/>
                    </w:rPr>
                    <m:t>2</m:t>
                  </m:r>
                </m:sup>
              </m:sSup>
            </m:e>
          </m:d>
        </m:oMath>
      </m:oMathPara>
    </w:p>
    <w:p w14:paraId="6F2781D6" w14:textId="77777777" w:rsidR="008D574E" w:rsidRPr="00580014" w:rsidRDefault="008D574E" w:rsidP="008D574E">
      <w:pPr>
        <w:spacing w:line="480" w:lineRule="auto"/>
        <w:ind w:firstLine="720"/>
        <w:jc w:val="right"/>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(8)</w:t>
      </w:r>
    </w:p>
    <w:p w14:paraId="59ACE128" w14:textId="77777777" w:rsidR="008D574E" w:rsidRPr="00580014" w:rsidRDefault="00BE4B2A" w:rsidP="008D574E">
      <w:pPr>
        <w:spacing w:line="480" w:lineRule="auto"/>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Equation (8</w:t>
      </w:r>
      <w:r w:rsidR="008D574E" w:rsidRPr="00580014">
        <w:rPr>
          <w:rFonts w:ascii="Times New Roman" w:eastAsiaTheme="minorEastAsia" w:hAnsi="Times New Roman" w:cs="Times New Roman"/>
          <w:sz w:val="24"/>
          <w:szCs w:val="24"/>
        </w:rPr>
        <w:t>) yields the first order condition:</w:t>
      </w:r>
    </w:p>
    <w:p w14:paraId="5846A375" w14:textId="77777777" w:rsidR="008D574E" w:rsidRPr="00580014" w:rsidRDefault="008D574E" w:rsidP="008D574E">
      <w:pPr>
        <w:spacing w:line="480" w:lineRule="auto"/>
        <w:ind w:firstLine="720"/>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-2</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β-a</m:t>
                      </m:r>
                    </m:num>
                    <m:den>
                      <m:r>
                        <w:rPr>
                          <w:rFonts w:ascii="Cambria Math" w:eastAsiaTheme="minorEastAsia" w:hAnsi="Cambria Math" w:cs="Times New Roman"/>
                          <w:sz w:val="24"/>
                          <w:szCs w:val="24"/>
                        </w:rPr>
                        <m:t>b-a</m:t>
                      </m:r>
                    </m:den>
                  </m:f>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V-2β</m:t>
              </m:r>
            </m:e>
          </m:d>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b-a</m:t>
                  </m:r>
                </m:den>
              </m:f>
            </m:e>
          </m:d>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β-a</m:t>
                  </m:r>
                </m:num>
                <m:den>
                  <m:r>
                    <w:rPr>
                      <w:rFonts w:ascii="Cambria Math" w:eastAsiaTheme="minorEastAsia" w:hAnsi="Cambria Math" w:cs="Times New Roman"/>
                      <w:sz w:val="24"/>
                      <w:szCs w:val="24"/>
                    </w:rPr>
                    <m:t>b-a</m:t>
                  </m:r>
                </m:den>
              </m:f>
            </m:e>
          </m:d>
          <m:r>
            <w:rPr>
              <w:rFonts w:ascii="Cambria Math" w:eastAsiaTheme="minorEastAsia" w:hAnsi="Cambria Math" w:cs="Times New Roman"/>
              <w:sz w:val="24"/>
              <w:szCs w:val="24"/>
            </w:rPr>
            <m:t>-2E</m:t>
          </m:r>
          <m:d>
            <m:dPr>
              <m:ctrlPr>
                <w:rPr>
                  <w:rFonts w:ascii="Cambria Math" w:eastAsiaTheme="minorEastAsia" w:hAnsi="Cambria Math" w:cs="Times New Roman"/>
                  <w:i/>
                  <w:sz w:val="24"/>
                  <w:szCs w:val="24"/>
                </w:rPr>
              </m:ctrlPr>
            </m:d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π</m:t>
                  </m:r>
                </m:e>
                <m:sub>
                  <m:r>
                    <w:rPr>
                      <w:rFonts w:ascii="Cambria Math" w:eastAsiaTheme="minorEastAsia" w:hAnsi="Cambria Math" w:cs="Times New Roman"/>
                      <w:sz w:val="24"/>
                      <w:szCs w:val="24"/>
                    </w:rPr>
                    <m:t>a</m:t>
                  </m:r>
                </m:sub>
                <m:sup>
                  <m:r>
                    <w:rPr>
                      <w:rFonts w:ascii="Cambria Math" w:eastAsiaTheme="minorEastAsia" w:hAnsi="Cambria Math" w:cs="Times New Roman"/>
                      <w:sz w:val="24"/>
                      <w:szCs w:val="24"/>
                    </w:rPr>
                    <m:t>*</m:t>
                  </m:r>
                </m:sup>
              </m:sSubSup>
            </m:e>
          </m:d>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b-a</m:t>
                  </m:r>
                </m:den>
              </m:f>
            </m:e>
          </m:d>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β-a</m:t>
                  </m:r>
                </m:num>
                <m:den>
                  <m:r>
                    <w:rPr>
                      <w:rFonts w:ascii="Cambria Math" w:eastAsiaTheme="minorEastAsia" w:hAnsi="Cambria Math" w:cs="Times New Roman"/>
                      <w:sz w:val="24"/>
                      <w:szCs w:val="24"/>
                    </w:rPr>
                    <m:t>b-a</m:t>
                  </m:r>
                </m:den>
              </m:f>
            </m:e>
          </m:d>
          <m:r>
            <w:rPr>
              <w:rFonts w:ascii="Cambria Math" w:eastAsiaTheme="minorEastAsia" w:hAnsi="Cambria Math" w:cs="Times New Roman"/>
              <w:sz w:val="24"/>
              <w:szCs w:val="24"/>
            </w:rPr>
            <m:t>=0</m:t>
          </m:r>
        </m:oMath>
      </m:oMathPara>
    </w:p>
    <w:p w14:paraId="28F996DF" w14:textId="77777777" w:rsidR="008D574E" w:rsidRPr="00580014" w:rsidRDefault="008D574E" w:rsidP="008D574E">
      <w:pPr>
        <w:spacing w:line="480" w:lineRule="auto"/>
        <w:ind w:firstLine="720"/>
        <w:jc w:val="right"/>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(9)</w:t>
      </w:r>
    </w:p>
    <w:p w14:paraId="0A1DBAE9" w14:textId="77777777" w:rsidR="008D574E" w:rsidRPr="00580014" w:rsidRDefault="008D574E" w:rsidP="008D574E">
      <w:pPr>
        <w:spacing w:line="480" w:lineRule="auto"/>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 xml:space="preserve">We may then solve for </w:t>
      </w:r>
      <m:oMath>
        <m:r>
          <w:rPr>
            <w:rFonts w:ascii="Cambria Math" w:eastAsiaTheme="minorEastAsia" w:hAnsi="Cambria Math" w:cs="Times New Roman"/>
            <w:sz w:val="24"/>
            <w:szCs w:val="24"/>
          </w:rPr>
          <m:t>β</m:t>
        </m:r>
      </m:oMath>
      <w:r w:rsidRPr="00580014">
        <w:rPr>
          <w:rFonts w:ascii="Times New Roman" w:eastAsiaTheme="minorEastAsia" w:hAnsi="Times New Roman" w:cs="Times New Roman"/>
          <w:sz w:val="24"/>
          <w:szCs w:val="24"/>
        </w:rPr>
        <w:t xml:space="preserve"> to find the equilibrium offer function:</w:t>
      </w:r>
    </w:p>
    <w:p w14:paraId="31984494" w14:textId="77777777" w:rsidR="008D574E" w:rsidRPr="00580014" w:rsidRDefault="00F50392" w:rsidP="008D574E">
      <w:pPr>
        <w:spacing w:line="480" w:lineRule="auto"/>
        <w:ind w:firstLine="720"/>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V+a-E</m:t>
              </m:r>
              <m:d>
                <m:dPr>
                  <m:ctrlPr>
                    <w:rPr>
                      <w:rFonts w:ascii="Cambria Math" w:eastAsiaTheme="minorEastAsia" w:hAnsi="Cambria Math" w:cs="Times New Roman"/>
                      <w:i/>
                      <w:sz w:val="24"/>
                      <w:szCs w:val="24"/>
                    </w:rPr>
                  </m:ctrlPr>
                </m:d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π</m:t>
                      </m:r>
                    </m:e>
                    <m:sub>
                      <m:r>
                        <w:rPr>
                          <w:rFonts w:ascii="Cambria Math" w:eastAsiaTheme="minorEastAsia" w:hAnsi="Cambria Math" w:cs="Times New Roman"/>
                          <w:sz w:val="24"/>
                          <w:szCs w:val="24"/>
                        </w:rPr>
                        <m:t>a</m:t>
                      </m:r>
                    </m:sub>
                    <m:sup>
                      <m:r>
                        <w:rPr>
                          <w:rFonts w:ascii="Cambria Math" w:eastAsiaTheme="minorEastAsia" w:hAnsi="Cambria Math" w:cs="Times New Roman"/>
                          <w:sz w:val="24"/>
                          <w:szCs w:val="24"/>
                        </w:rPr>
                        <m:t>*</m:t>
                      </m:r>
                    </m:sup>
                  </m:sSubSup>
                </m:e>
              </m:d>
            </m:num>
            <m:den>
              <m:r>
                <w:rPr>
                  <w:rFonts w:ascii="Cambria Math" w:eastAsiaTheme="minorEastAsia" w:hAnsi="Cambria Math" w:cs="Times New Roman"/>
                  <w:sz w:val="24"/>
                  <w:szCs w:val="24"/>
                </w:rPr>
                <m:t>3</m:t>
              </m:r>
            </m:den>
          </m:f>
        </m:oMath>
      </m:oMathPara>
    </w:p>
    <w:p w14:paraId="398BA3A1" w14:textId="77777777" w:rsidR="008D574E" w:rsidRPr="00580014" w:rsidRDefault="008D574E" w:rsidP="008D574E">
      <w:pPr>
        <w:spacing w:line="480" w:lineRule="auto"/>
        <w:ind w:firstLine="720"/>
        <w:jc w:val="right"/>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(10)</w:t>
      </w:r>
    </w:p>
    <w:p w14:paraId="3D11245D" w14:textId="77777777" w:rsidR="00B31E08" w:rsidRPr="00580014" w:rsidRDefault="008D574E">
      <w:pPr>
        <w:spacing w:line="480" w:lineRule="auto"/>
        <w:jc w:val="both"/>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 xml:space="preserve">Notice that a comparison of the equilibrium offer functions (3) and (10) implies that the presence of the alternative seller diminishes the buyer’s equilibrium offers to the primary sellers so long as there is an expected profit from dealing with the alternative seller.  </w:t>
      </w:r>
    </w:p>
    <w:p w14:paraId="55ACEB8F" w14:textId="77777777" w:rsidR="00B31E08" w:rsidRPr="00580014" w:rsidRDefault="005D4C13">
      <w:pPr>
        <w:spacing w:line="480" w:lineRule="auto"/>
        <w:ind w:firstLine="720"/>
        <w:jc w:val="both"/>
        <w:rPr>
          <w:rFonts w:ascii="Times New Roman" w:eastAsiaTheme="minorEastAsia" w:hAnsi="Times New Roman" w:cs="Times New Roman"/>
          <w:i/>
          <w:sz w:val="24"/>
          <w:szCs w:val="24"/>
        </w:rPr>
      </w:pPr>
      <w:r w:rsidRPr="00580014">
        <w:rPr>
          <w:rFonts w:ascii="Times New Roman" w:eastAsiaTheme="minorEastAsia" w:hAnsi="Times New Roman" w:cs="Times New Roman"/>
          <w:sz w:val="24"/>
          <w:szCs w:val="24"/>
        </w:rPr>
        <w:t>A</w:t>
      </w:r>
      <w:r w:rsidR="008D574E" w:rsidRPr="00580014">
        <w:rPr>
          <w:rFonts w:ascii="Times New Roman" w:eastAsiaTheme="minorEastAsia" w:hAnsi="Times New Roman" w:cs="Times New Roman"/>
          <w:sz w:val="24"/>
          <w:szCs w:val="24"/>
        </w:rPr>
        <w:t>llow</w:t>
      </w:r>
      <w:r w:rsidRPr="00580014">
        <w:rPr>
          <w:rFonts w:ascii="Times New Roman" w:eastAsiaTheme="minorEastAsia" w:hAnsi="Times New Roman" w:cs="Times New Roman"/>
          <w:sz w:val="24"/>
          <w:szCs w:val="24"/>
        </w:rPr>
        <w:t>ing</w:t>
      </w:r>
      <w:r w:rsidR="008D574E" w:rsidRPr="00580014">
        <w:rPr>
          <w:rFonts w:ascii="Times New Roman" w:eastAsiaTheme="minorEastAsia" w:hAnsi="Times New Roman" w:cs="Times New Roman"/>
          <w:sz w:val="24"/>
          <w:szCs w:val="24"/>
        </w:rPr>
        <w:t xml:space="preserve"> for multiple periods </w:t>
      </w:r>
      <w:r w:rsidRPr="00580014">
        <w:rPr>
          <w:rFonts w:ascii="Times New Roman" w:eastAsiaTheme="minorEastAsia" w:hAnsi="Times New Roman" w:cs="Times New Roman"/>
          <w:sz w:val="24"/>
          <w:szCs w:val="24"/>
        </w:rPr>
        <w:t xml:space="preserve">causes </w:t>
      </w:r>
      <w:r w:rsidR="008D574E" w:rsidRPr="00580014">
        <w:rPr>
          <w:rFonts w:ascii="Times New Roman" w:eastAsiaTheme="minorEastAsia" w:hAnsi="Times New Roman" w:cs="Times New Roman"/>
          <w:sz w:val="24"/>
          <w:szCs w:val="24"/>
        </w:rPr>
        <w:t xml:space="preserve">equilibrium behavior </w:t>
      </w:r>
      <w:r w:rsidRPr="00580014">
        <w:rPr>
          <w:rFonts w:ascii="Times New Roman" w:eastAsiaTheme="minorEastAsia" w:hAnsi="Times New Roman" w:cs="Times New Roman"/>
          <w:sz w:val="24"/>
          <w:szCs w:val="24"/>
        </w:rPr>
        <w:t xml:space="preserve">to </w:t>
      </w:r>
      <w:r w:rsidR="008D574E" w:rsidRPr="00580014">
        <w:rPr>
          <w:rFonts w:ascii="Times New Roman" w:eastAsiaTheme="minorEastAsia" w:hAnsi="Times New Roman" w:cs="Times New Roman"/>
          <w:sz w:val="24"/>
          <w:szCs w:val="24"/>
        </w:rPr>
        <w:t>become ambiguous for the reasons discussed in the previous section.  Failure to assemble the primary parcels or to buy the substitute parcel will lead the buyer to increase his offers in the subsequent period if he believes the sellers to be sincere or to submit the same offers if he believes them to be strategic.  A seller’s decision to hold out will depend in part on her beliefs about the buyer’s beliefs.  However, it is also clear that holdout becomes more risky in this environment because it runs the risk that the buyer will commit to a contract with the competing party (or parties).  Consequently, we would expect to see less seller holdout in this environment.</w:t>
      </w:r>
    </w:p>
    <w:p w14:paraId="65D5BCBE" w14:textId="77777777" w:rsidR="008D574E" w:rsidRPr="00580014" w:rsidRDefault="008D574E" w:rsidP="008D574E">
      <w:pPr>
        <w:spacing w:line="480" w:lineRule="auto"/>
        <w:rPr>
          <w:rFonts w:ascii="Times New Roman" w:eastAsiaTheme="minorEastAsia" w:hAnsi="Times New Roman" w:cs="Times New Roman"/>
          <w:i/>
          <w:sz w:val="24"/>
          <w:szCs w:val="24"/>
        </w:rPr>
      </w:pPr>
      <w:r w:rsidRPr="00580014">
        <w:rPr>
          <w:rFonts w:ascii="Times New Roman" w:eastAsiaTheme="minorEastAsia" w:hAnsi="Times New Roman" w:cs="Times New Roman"/>
          <w:i/>
          <w:sz w:val="24"/>
          <w:szCs w:val="24"/>
        </w:rPr>
        <w:t>D. Eminent Domain</w:t>
      </w:r>
    </w:p>
    <w:p w14:paraId="53B69F29" w14:textId="68A37A62" w:rsidR="00B31E08" w:rsidRPr="00580014" w:rsidRDefault="008D574E">
      <w:pPr>
        <w:spacing w:line="480" w:lineRule="auto"/>
        <w:jc w:val="both"/>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ab/>
        <w:t>Now consider a case where the buyer may invoke eminent domain on a seller who has rejected his offer</w:t>
      </w:r>
      <w:r w:rsidR="007A03DE" w:rsidRPr="00580014">
        <w:rPr>
          <w:rFonts w:ascii="Times New Roman" w:eastAsiaTheme="minorEastAsia" w:hAnsi="Times New Roman" w:cs="Times New Roman"/>
          <w:sz w:val="24"/>
          <w:szCs w:val="24"/>
        </w:rPr>
        <w:t>.</w:t>
      </w:r>
      <w:r w:rsidRPr="00580014">
        <w:rPr>
          <w:rFonts w:ascii="Times New Roman" w:eastAsiaTheme="minorEastAsia" w:hAnsi="Times New Roman" w:cs="Times New Roman"/>
          <w:sz w:val="24"/>
          <w:szCs w:val="24"/>
        </w:rPr>
        <w:t xml:space="preserve"> </w:t>
      </w:r>
      <w:r w:rsidR="007A03DE" w:rsidRPr="00580014">
        <w:rPr>
          <w:rFonts w:ascii="Times New Roman" w:eastAsiaTheme="minorEastAsia" w:hAnsi="Times New Roman" w:cs="Times New Roman"/>
          <w:sz w:val="24"/>
          <w:szCs w:val="24"/>
        </w:rPr>
        <w:t xml:space="preserve"> We assume that there is a prevailing market price for parcels of land, and that the price is consistent with the competitive equilibrium.  This prevailing price is equal to </w:t>
      </w:r>
      <m:oMath>
        <m:r>
          <w:rPr>
            <w:rFonts w:ascii="Cambria Math" w:eastAsiaTheme="minorEastAsia" w:hAnsi="Cambria Math" w:cs="Times New Roman"/>
            <w:sz w:val="24"/>
            <w:szCs w:val="24"/>
          </w:rPr>
          <m:t>a</m:t>
        </m:r>
      </m:oMath>
      <w:r w:rsidR="007A03DE" w:rsidRPr="00580014">
        <w:rPr>
          <w:rFonts w:ascii="Times New Roman" w:eastAsiaTheme="minorEastAsia" w:hAnsi="Times New Roman" w:cs="Times New Roman"/>
          <w:sz w:val="24"/>
          <w:szCs w:val="24"/>
        </w:rPr>
        <w:t>, the lower bound of a seller’s valuation, because if a seller valued his property at less than the prevailing market price he would have sold it already.  However,</w:t>
      </w:r>
      <w:r w:rsidR="003D5C39">
        <w:rPr>
          <w:rFonts w:ascii="Times New Roman" w:eastAsiaTheme="minorEastAsia" w:hAnsi="Times New Roman" w:cs="Times New Roman"/>
          <w:sz w:val="24"/>
          <w:szCs w:val="24"/>
        </w:rPr>
        <w:t xml:space="preserve"> if the buyer invokes eminent domain </w:t>
      </w:r>
      <w:r w:rsidR="007A03DE" w:rsidRPr="00580014">
        <w:rPr>
          <w:rFonts w:ascii="Times New Roman" w:eastAsiaTheme="minorEastAsia" w:hAnsi="Times New Roman" w:cs="Times New Roman"/>
          <w:sz w:val="24"/>
          <w:szCs w:val="24"/>
        </w:rPr>
        <w:t>t</w:t>
      </w:r>
      <w:r w:rsidRPr="00580014">
        <w:rPr>
          <w:rFonts w:ascii="Times New Roman" w:eastAsiaTheme="minorEastAsia" w:hAnsi="Times New Roman" w:cs="Times New Roman"/>
          <w:sz w:val="24"/>
          <w:szCs w:val="24"/>
        </w:rPr>
        <w:t xml:space="preserve">he </w:t>
      </w:r>
      <w:r w:rsidR="007A03DE" w:rsidRPr="00580014">
        <w:rPr>
          <w:rFonts w:ascii="Times New Roman" w:eastAsiaTheme="minorEastAsia" w:hAnsi="Times New Roman" w:cs="Times New Roman"/>
          <w:sz w:val="24"/>
          <w:szCs w:val="24"/>
        </w:rPr>
        <w:t>“</w:t>
      </w:r>
      <w:r w:rsidRPr="00580014">
        <w:rPr>
          <w:rFonts w:ascii="Times New Roman" w:eastAsiaTheme="minorEastAsia" w:hAnsi="Times New Roman" w:cs="Times New Roman"/>
          <w:sz w:val="24"/>
          <w:szCs w:val="24"/>
        </w:rPr>
        <w:t>fair market price</w:t>
      </w:r>
      <w:r w:rsidR="007A03DE" w:rsidRPr="00580014">
        <w:rPr>
          <w:rFonts w:ascii="Times New Roman" w:eastAsiaTheme="minorEastAsia" w:hAnsi="Times New Roman" w:cs="Times New Roman"/>
          <w:sz w:val="24"/>
          <w:szCs w:val="24"/>
        </w:rPr>
        <w:t>”</w:t>
      </w:r>
      <w:r w:rsidRPr="00580014">
        <w:rPr>
          <w:rFonts w:ascii="Times New Roman" w:eastAsiaTheme="minorEastAsia" w:hAnsi="Times New Roman" w:cs="Times New Roman"/>
          <w:sz w:val="24"/>
          <w:szCs w:val="24"/>
        </w:rPr>
        <w:t xml:space="preserve"> is decided through litigation, </w:t>
      </w:r>
      <w:r w:rsidR="007A03DE" w:rsidRPr="00580014">
        <w:rPr>
          <w:rFonts w:ascii="Times New Roman" w:eastAsiaTheme="minorEastAsia" w:hAnsi="Times New Roman" w:cs="Times New Roman"/>
          <w:sz w:val="24"/>
          <w:szCs w:val="24"/>
        </w:rPr>
        <w:t>so that the</w:t>
      </w:r>
      <w:r w:rsidRPr="00580014">
        <w:rPr>
          <w:rFonts w:ascii="Times New Roman" w:eastAsiaTheme="minorEastAsia" w:hAnsi="Times New Roman" w:cs="Times New Roman"/>
          <w:sz w:val="24"/>
          <w:szCs w:val="24"/>
        </w:rPr>
        <w:t xml:space="preserve"> price </w:t>
      </w:r>
      <w:r w:rsidR="003D5C39">
        <w:rPr>
          <w:rFonts w:ascii="Times New Roman" w:eastAsiaTheme="minorEastAsia" w:hAnsi="Times New Roman" w:cs="Times New Roman"/>
          <w:sz w:val="24"/>
          <w:szCs w:val="24"/>
        </w:rPr>
        <w:t>he</w:t>
      </w:r>
      <w:r w:rsidR="007A03DE" w:rsidRPr="00580014">
        <w:rPr>
          <w:rFonts w:ascii="Times New Roman" w:eastAsiaTheme="minorEastAsia" w:hAnsi="Times New Roman" w:cs="Times New Roman"/>
          <w:sz w:val="24"/>
          <w:szCs w:val="24"/>
        </w:rPr>
        <w:t xml:space="preserve"> pays </w:t>
      </w:r>
      <w:r w:rsidRPr="00580014">
        <w:rPr>
          <w:rFonts w:ascii="Times New Roman" w:eastAsiaTheme="minorEastAsia" w:hAnsi="Times New Roman" w:cs="Times New Roman"/>
          <w:sz w:val="24"/>
          <w:szCs w:val="24"/>
        </w:rPr>
        <w:t xml:space="preserve">will be </w:t>
      </w:r>
      <w:r w:rsidR="007A03DE" w:rsidRPr="00580014">
        <w:rPr>
          <w:rFonts w:ascii="Times New Roman" w:eastAsiaTheme="minorEastAsia" w:hAnsi="Times New Roman" w:cs="Times New Roman"/>
          <w:sz w:val="24"/>
          <w:szCs w:val="24"/>
        </w:rPr>
        <w:t xml:space="preserve">influenced by </w:t>
      </w:r>
      <w:r w:rsidRPr="00580014">
        <w:rPr>
          <w:rFonts w:ascii="Times New Roman" w:eastAsiaTheme="minorEastAsia" w:hAnsi="Times New Roman" w:cs="Times New Roman"/>
          <w:sz w:val="24"/>
          <w:szCs w:val="24"/>
        </w:rPr>
        <w:t xml:space="preserve">the resources each side expends on the legal process.  Let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m</m:t>
            </m:r>
          </m:sub>
        </m:sSub>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a-ϵ,a,a+ϵ</m:t>
            </m:r>
          </m:e>
        </m:d>
      </m:oMath>
      <w:r w:rsidRPr="00580014">
        <w:rPr>
          <w:rFonts w:ascii="Times New Roman" w:eastAsiaTheme="minorEastAsia" w:hAnsi="Times New Roman" w:cs="Times New Roman"/>
          <w:sz w:val="24"/>
          <w:szCs w:val="24"/>
        </w:rPr>
        <w:t xml:space="preserve"> represent the fair market price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b</m:t>
            </m:r>
          </m:sub>
        </m:sSub>
      </m:oMath>
      <w:r w:rsidRPr="00580014">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s</m:t>
            </m:r>
          </m:sub>
        </m:sSub>
      </m:oMath>
      <w:r w:rsidRPr="00580014">
        <w:rPr>
          <w:rFonts w:ascii="Times New Roman" w:eastAsiaTheme="minorEastAsia" w:hAnsi="Times New Roman" w:cs="Times New Roman"/>
          <w:sz w:val="24"/>
          <w:szCs w:val="24"/>
        </w:rPr>
        <w:t xml:space="preserve"> represent the amounts that the buyer and seller spend in an attempt to win the contest, where each defines winning as receiving the most favorable price.</w:t>
      </w:r>
    </w:p>
    <w:p w14:paraId="2004D571" w14:textId="77777777" w:rsidR="00B31E08" w:rsidRPr="00580014" w:rsidRDefault="008D574E">
      <w:pPr>
        <w:spacing w:line="480" w:lineRule="auto"/>
        <w:ind w:firstLine="720"/>
        <w:jc w:val="both"/>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 xml:space="preserve">If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s</m:t>
            </m:r>
          </m:sub>
        </m:sSub>
        <m:r>
          <w:rPr>
            <w:rFonts w:ascii="Cambria Math" w:eastAsiaTheme="minorEastAsia" w:hAnsi="Cambria Math" w:cs="Times New Roman"/>
            <w:sz w:val="24"/>
            <w:szCs w:val="24"/>
          </w:rPr>
          <m:t>=0</m:t>
        </m:r>
      </m:oMath>
      <w:r w:rsidRPr="00580014">
        <w:rPr>
          <w:rFonts w:ascii="Times New Roman" w:eastAsiaTheme="minorEastAsia" w:hAnsi="Times New Roman" w:cs="Times New Roman"/>
          <w:sz w:val="24"/>
          <w:szCs w:val="24"/>
        </w:rPr>
        <w:t xml:space="preserve"> then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m</m:t>
            </m:r>
          </m:sub>
        </m:sSub>
        <m:r>
          <w:rPr>
            <w:rFonts w:ascii="Cambria Math" w:eastAsiaTheme="minorEastAsia" w:hAnsi="Cambria Math" w:cs="Times New Roman"/>
            <w:sz w:val="24"/>
            <w:szCs w:val="24"/>
          </w:rPr>
          <m:t>=a</m:t>
        </m:r>
      </m:oMath>
      <w:r w:rsidRPr="00580014">
        <w:rPr>
          <w:rFonts w:ascii="Times New Roman" w:eastAsiaTheme="minorEastAsia" w:hAnsi="Times New Roman" w:cs="Times New Roman"/>
          <w:sz w:val="24"/>
          <w:szCs w:val="24"/>
        </w:rPr>
        <w:t xml:space="preserve">.  That is, there is a cooperative outcome in which neither competes in the contest and the fair market price is equal to the </w:t>
      </w:r>
      <w:r w:rsidR="007A03DE" w:rsidRPr="00580014">
        <w:rPr>
          <w:rFonts w:ascii="Times New Roman" w:eastAsiaTheme="minorEastAsia" w:hAnsi="Times New Roman" w:cs="Times New Roman"/>
          <w:sz w:val="24"/>
          <w:szCs w:val="24"/>
        </w:rPr>
        <w:t xml:space="preserve">prevailing </w:t>
      </w:r>
      <w:r w:rsidRPr="00580014">
        <w:rPr>
          <w:rFonts w:ascii="Times New Roman" w:eastAsiaTheme="minorEastAsia" w:hAnsi="Times New Roman" w:cs="Times New Roman"/>
          <w:sz w:val="24"/>
          <w:szCs w:val="24"/>
        </w:rPr>
        <w:t>market price for parcels.  If one or both contestants spends an amount greater than zero the probability that the buyer wins the contest is given by:</w:t>
      </w:r>
    </w:p>
    <w:p w14:paraId="747D18F4" w14:textId="77777777" w:rsidR="008D574E" w:rsidRPr="00580014" w:rsidRDefault="008D574E" w:rsidP="008D574E">
      <w:pPr>
        <w:spacing w:line="48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p=</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b</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S</m:t>
                  </m:r>
                </m:sub>
              </m:sSub>
            </m:den>
          </m:f>
        </m:oMath>
      </m:oMathPara>
    </w:p>
    <w:p w14:paraId="7E333EB9" w14:textId="77777777" w:rsidR="008D574E" w:rsidRPr="00580014" w:rsidRDefault="008D574E" w:rsidP="008D574E">
      <w:pPr>
        <w:spacing w:line="480" w:lineRule="auto"/>
        <w:jc w:val="right"/>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(11)</w:t>
      </w:r>
    </w:p>
    <w:p w14:paraId="0EFA499A" w14:textId="77777777" w:rsidR="00B31E08" w:rsidRPr="00580014" w:rsidRDefault="008D574E">
      <w:pPr>
        <w:spacing w:line="480" w:lineRule="auto"/>
        <w:jc w:val="both"/>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 xml:space="preserve">The seller’s probability of winning is determined by an analogous function.  Winning is certain if one side spends a non-zero sum in the contest while the other does not, so the cooperative outcome is not a Nash Equilibrium.  Notice that the litigation process effectively offers the buyer and seller a prize equal to </w:t>
      </w:r>
      <m:oMath>
        <m:r>
          <w:rPr>
            <w:rFonts w:ascii="Cambria Math" w:eastAsiaTheme="minorEastAsia" w:hAnsi="Cambria Math" w:cs="Times New Roman"/>
            <w:sz w:val="24"/>
            <w:szCs w:val="24"/>
          </w:rPr>
          <m:t>2ϵ</m:t>
        </m:r>
      </m:oMath>
      <w:r w:rsidRPr="00580014">
        <w:rPr>
          <w:rFonts w:ascii="Times New Roman" w:eastAsiaTheme="minorEastAsia" w:hAnsi="Times New Roman" w:cs="Times New Roman"/>
          <w:sz w:val="24"/>
          <w:szCs w:val="24"/>
        </w:rPr>
        <w:t xml:space="preserve">, the difference between the high and low values that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m</m:t>
            </m:r>
          </m:sub>
        </m:sSub>
      </m:oMath>
      <w:r w:rsidRPr="00580014">
        <w:rPr>
          <w:rFonts w:ascii="Times New Roman" w:eastAsiaTheme="minorEastAsia" w:hAnsi="Times New Roman" w:cs="Times New Roman"/>
          <w:sz w:val="24"/>
          <w:szCs w:val="24"/>
        </w:rPr>
        <w:t xml:space="preserve"> can take.  We may therefore analyze the legal process as a simple Tullock Contest.  </w:t>
      </w:r>
    </w:p>
    <w:p w14:paraId="32E65F4E" w14:textId="77777777" w:rsidR="00B31E08" w:rsidRPr="00580014" w:rsidRDefault="008D574E">
      <w:pPr>
        <w:spacing w:line="480" w:lineRule="auto"/>
        <w:jc w:val="both"/>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ab/>
        <w:t xml:space="preserve">The buyer’s expected profit from competing in the contest, </w:t>
      </w:r>
      <m:oMath>
        <m:r>
          <w:rPr>
            <w:rFonts w:ascii="Cambria Math" w:eastAsiaTheme="minorEastAsia" w:hAnsi="Cambria Math" w:cs="Times New Roman"/>
            <w:sz w:val="24"/>
            <w:szCs w:val="24"/>
          </w:rPr>
          <m:t>E</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π</m:t>
                </m:r>
              </m:e>
              <m:sub>
                <m:r>
                  <w:rPr>
                    <w:rFonts w:ascii="Cambria Math" w:eastAsiaTheme="minorEastAsia" w:hAnsi="Cambria Math" w:cs="Times New Roman"/>
                    <w:sz w:val="24"/>
                    <w:szCs w:val="24"/>
                  </w:rPr>
                  <m:t>c</m:t>
                </m:r>
              </m:sub>
            </m:sSub>
          </m:e>
        </m:d>
      </m:oMath>
      <w:r w:rsidRPr="00580014">
        <w:rPr>
          <w:rFonts w:ascii="Times New Roman" w:eastAsiaTheme="minorEastAsia" w:hAnsi="Times New Roman" w:cs="Times New Roman"/>
          <w:sz w:val="24"/>
          <w:szCs w:val="24"/>
        </w:rPr>
        <w:t xml:space="preserve"> is given by:</w:t>
      </w:r>
    </w:p>
    <w:p w14:paraId="4AE2FC51" w14:textId="77777777" w:rsidR="008D574E" w:rsidRPr="00580014" w:rsidRDefault="008D574E" w:rsidP="008D574E">
      <w:pPr>
        <w:spacing w:line="48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E</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π</m:t>
                  </m:r>
                </m:e>
                <m:sub>
                  <m:r>
                    <w:rPr>
                      <w:rFonts w:ascii="Cambria Math" w:eastAsiaTheme="minorEastAsia" w:hAnsi="Cambria Math" w:cs="Times New Roman"/>
                      <w:sz w:val="24"/>
                      <w:szCs w:val="24"/>
                    </w:rPr>
                    <m:t>c</m:t>
                  </m:r>
                </m:sub>
              </m:sSub>
            </m:e>
          </m:d>
          <m:r>
            <w:rPr>
              <w:rFonts w:ascii="Cambria Math" w:eastAsiaTheme="minorEastAsia" w:hAnsi="Cambria Math" w:cs="Times New Roman"/>
              <w:sz w:val="24"/>
              <w:szCs w:val="24"/>
            </w:rPr>
            <m:t>=2ϵ</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b</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S</m:t>
                      </m:r>
                    </m:sub>
                  </m:sSub>
                </m:den>
              </m:f>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b</m:t>
              </m:r>
            </m:sub>
          </m:sSub>
        </m:oMath>
      </m:oMathPara>
    </w:p>
    <w:p w14:paraId="00F6861F" w14:textId="77777777" w:rsidR="008D574E" w:rsidRPr="00580014" w:rsidRDefault="008D574E" w:rsidP="008D574E">
      <w:pPr>
        <w:spacing w:line="480" w:lineRule="auto"/>
        <w:jc w:val="right"/>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(12)</w:t>
      </w:r>
    </w:p>
    <w:p w14:paraId="0C840CCF" w14:textId="77777777" w:rsidR="008D574E" w:rsidRPr="00580014" w:rsidRDefault="008D574E" w:rsidP="008D574E">
      <w:pPr>
        <w:spacing w:line="480" w:lineRule="auto"/>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The first order condition of equation (12) is therefore:</w:t>
      </w:r>
    </w:p>
    <w:p w14:paraId="40EC27DC" w14:textId="77777777" w:rsidR="008D574E" w:rsidRPr="00580014" w:rsidRDefault="00F50392" w:rsidP="008D574E">
      <w:pPr>
        <w:spacing w:line="480" w:lineRule="auto"/>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2ϵ</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s</m:t>
                  </m:r>
                </m:sub>
              </m:sSub>
            </m:num>
            <m:den>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S</m:t>
                          </m:r>
                        </m:sub>
                      </m:sSub>
                    </m:e>
                  </m:d>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-1=0</m:t>
          </m:r>
        </m:oMath>
      </m:oMathPara>
    </w:p>
    <w:p w14:paraId="3EC1ECEA" w14:textId="77777777" w:rsidR="008D574E" w:rsidRPr="00580014" w:rsidRDefault="008D574E" w:rsidP="008D574E">
      <w:pPr>
        <w:spacing w:line="480" w:lineRule="auto"/>
        <w:jc w:val="right"/>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(13)</w:t>
      </w:r>
    </w:p>
    <w:p w14:paraId="30AAA1D4" w14:textId="77777777" w:rsidR="008D574E" w:rsidRPr="00580014" w:rsidRDefault="008D574E" w:rsidP="008D574E">
      <w:pPr>
        <w:spacing w:line="480" w:lineRule="auto"/>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 xml:space="preserve">Solving for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b</m:t>
            </m:r>
          </m:sub>
        </m:sSub>
      </m:oMath>
      <w:r w:rsidRPr="00580014">
        <w:rPr>
          <w:rFonts w:ascii="Times New Roman" w:eastAsiaTheme="minorEastAsia" w:hAnsi="Times New Roman" w:cs="Times New Roman"/>
          <w:sz w:val="24"/>
          <w:szCs w:val="24"/>
        </w:rPr>
        <w:t xml:space="preserve"> gives us the buyer’s best response function:</w:t>
      </w:r>
    </w:p>
    <w:p w14:paraId="1D0F0D2C" w14:textId="5C7526E9" w:rsidR="008D574E" w:rsidRPr="00580014" w:rsidRDefault="00F50392" w:rsidP="008D574E">
      <w:pPr>
        <w:spacing w:line="480" w:lineRule="auto"/>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2ϵ</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s</m:t>
                  </m:r>
                </m:sub>
              </m:sSub>
            </m:e>
          </m:ra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s</m:t>
              </m:r>
            </m:sub>
          </m:sSub>
        </m:oMath>
      </m:oMathPara>
    </w:p>
    <w:p w14:paraId="65790B94" w14:textId="77777777" w:rsidR="008D574E" w:rsidRPr="00580014" w:rsidRDefault="008D574E" w:rsidP="008D574E">
      <w:pPr>
        <w:spacing w:line="480" w:lineRule="auto"/>
        <w:jc w:val="right"/>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(14)</w:t>
      </w:r>
    </w:p>
    <w:p w14:paraId="6FBE0840" w14:textId="77777777" w:rsidR="00B31E08" w:rsidRPr="00580014" w:rsidRDefault="008D574E">
      <w:pPr>
        <w:spacing w:line="480" w:lineRule="auto"/>
        <w:jc w:val="both"/>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Because the buyer and seller are symmetrical in their valuation of the prize and their ability to influence the outcome of the contest the seller’s best response function is symmetrical to the buyer’s:</w:t>
      </w:r>
    </w:p>
    <w:p w14:paraId="684F7722" w14:textId="77777777" w:rsidR="008D574E" w:rsidRPr="00580014" w:rsidRDefault="00F50392" w:rsidP="008D574E">
      <w:pPr>
        <w:spacing w:line="480" w:lineRule="auto"/>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s</m:t>
              </m:r>
            </m:sub>
          </m:sSub>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2ϵ</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b</m:t>
                  </m:r>
                </m:sub>
              </m:sSub>
            </m:e>
          </m:ra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b</m:t>
              </m:r>
            </m:sub>
          </m:sSub>
        </m:oMath>
      </m:oMathPara>
    </w:p>
    <w:p w14:paraId="4B9A452B" w14:textId="77777777" w:rsidR="008D574E" w:rsidRPr="00580014" w:rsidRDefault="008D574E" w:rsidP="008D574E">
      <w:pPr>
        <w:spacing w:line="480" w:lineRule="auto"/>
        <w:jc w:val="right"/>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(15)</w:t>
      </w:r>
    </w:p>
    <w:p w14:paraId="785C5916" w14:textId="77777777" w:rsidR="00B31E08" w:rsidRPr="00580014" w:rsidRDefault="008D574E">
      <w:pPr>
        <w:spacing w:line="480" w:lineRule="auto"/>
        <w:jc w:val="both"/>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ab/>
        <w:t>Solving equations (14) and (15) simultaneously and accounting for the symmetry of the contestants’ spending in the Nash Equilibrium we find that:</w:t>
      </w:r>
    </w:p>
    <w:p w14:paraId="09D2925D" w14:textId="77777777" w:rsidR="008D574E" w:rsidRPr="00580014" w:rsidRDefault="00F50392" w:rsidP="008D574E">
      <w:pPr>
        <w:spacing w:line="480" w:lineRule="auto"/>
        <w:rPr>
          <w:rFonts w:ascii="Times New Roman" w:eastAsiaTheme="minorEastAsia" w:hAnsi="Times New Roman" w:cs="Times New Roman"/>
          <w:sz w:val="24"/>
          <w:szCs w:val="24"/>
        </w:rPr>
      </w:pPr>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b</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s</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ϵ</m:t>
              </m:r>
            </m:num>
            <m:den>
              <m:r>
                <w:rPr>
                  <w:rFonts w:ascii="Cambria Math" w:eastAsiaTheme="minorEastAsia" w:hAnsi="Cambria Math" w:cs="Times New Roman"/>
                  <w:sz w:val="24"/>
                  <w:szCs w:val="24"/>
                </w:rPr>
                <m:t>2</m:t>
              </m:r>
            </m:den>
          </m:f>
        </m:oMath>
      </m:oMathPara>
    </w:p>
    <w:p w14:paraId="6E45A684" w14:textId="77777777" w:rsidR="008D574E" w:rsidRPr="00580014" w:rsidRDefault="008D574E" w:rsidP="008D574E">
      <w:pPr>
        <w:spacing w:line="480" w:lineRule="auto"/>
        <w:jc w:val="right"/>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(16)</w:t>
      </w:r>
    </w:p>
    <w:p w14:paraId="011200A8" w14:textId="77777777" w:rsidR="00B31E08" w:rsidRPr="00580014" w:rsidRDefault="008D574E">
      <w:pPr>
        <w:spacing w:line="480" w:lineRule="auto"/>
        <w:jc w:val="both"/>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ab/>
        <w:t xml:space="preserve">Thus, in equilibrium the buyer and seller will expend, in total, half of the difference between the minimum and maximum values of the fair market price.  Because both contestants spend an equal amount in equilibrium the expected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m</m:t>
            </m:r>
          </m:sub>
        </m:sSub>
      </m:oMath>
      <w:r w:rsidRPr="00580014">
        <w:rPr>
          <w:rFonts w:ascii="Times New Roman" w:eastAsiaTheme="minorEastAsia" w:hAnsi="Times New Roman" w:cs="Times New Roman"/>
          <w:sz w:val="24"/>
          <w:szCs w:val="24"/>
        </w:rPr>
        <w:t xml:space="preserve"> is equal to</w:t>
      </w:r>
      <w:r w:rsidR="007A03DE" w:rsidRPr="00580014">
        <w:rPr>
          <w:rFonts w:ascii="Times New Roman" w:eastAsiaTheme="minorEastAsia" w:hAnsi="Times New Roman" w:cs="Times New Roman"/>
          <w:sz w:val="24"/>
          <w:szCs w:val="24"/>
        </w:rPr>
        <w:t xml:space="preserve"> the prevailing market price,</w:t>
      </w:r>
      <w:r w:rsidRPr="0058001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a</m:t>
        </m:r>
      </m:oMath>
      <w:r w:rsidRPr="00580014">
        <w:rPr>
          <w:rFonts w:ascii="Times New Roman" w:eastAsiaTheme="minorEastAsia" w:hAnsi="Times New Roman" w:cs="Times New Roman"/>
          <w:sz w:val="24"/>
          <w:szCs w:val="24"/>
        </w:rPr>
        <w:t xml:space="preserve">.  </w:t>
      </w:r>
    </w:p>
    <w:p w14:paraId="2AAFD352" w14:textId="77777777" w:rsidR="00B31E08" w:rsidRPr="00580014" w:rsidRDefault="008D574E">
      <w:pPr>
        <w:spacing w:line="480" w:lineRule="auto"/>
        <w:jc w:val="both"/>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ab/>
        <w:t>Of course, the influence costs of a court battle will act as a deterrent to invoking eminent domain in the first place.  The buyer knows that if he takes the seller to court the seller’s expected profit will be equal to the expected price she will receive minus the amount she spends in court costs.  When calculating his optimal bid, then, the buyer will offer the sellers an amount that will leave them indifferent between accepting his offer and going to court:</w:t>
      </w:r>
    </w:p>
    <w:p w14:paraId="364AC3A9" w14:textId="77777777" w:rsidR="008D574E" w:rsidRPr="00580014" w:rsidRDefault="00F50392" w:rsidP="008D574E">
      <w:pPr>
        <w:spacing w:line="480" w:lineRule="auto"/>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=a-</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ϵ</m:t>
              </m:r>
            </m:num>
            <m:den>
              <m:r>
                <w:rPr>
                  <w:rFonts w:ascii="Cambria Math" w:eastAsiaTheme="minorEastAsia" w:hAnsi="Cambria Math" w:cs="Times New Roman"/>
                  <w:sz w:val="24"/>
                  <w:szCs w:val="24"/>
                </w:rPr>
                <m:t>2</m:t>
              </m:r>
            </m:den>
          </m:f>
        </m:oMath>
      </m:oMathPara>
    </w:p>
    <w:p w14:paraId="6D410BB0" w14:textId="77777777" w:rsidR="008D574E" w:rsidRPr="00580014" w:rsidRDefault="008D574E" w:rsidP="008D574E">
      <w:pPr>
        <w:spacing w:line="480" w:lineRule="auto"/>
        <w:jc w:val="right"/>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(17)</w:t>
      </w:r>
    </w:p>
    <w:p w14:paraId="736A46A3" w14:textId="77777777" w:rsidR="00B31E08" w:rsidRPr="00580014" w:rsidRDefault="008D574E">
      <w:pPr>
        <w:spacing w:line="480" w:lineRule="auto"/>
        <w:jc w:val="both"/>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ab/>
        <w:t>Notice that although the litigation process offers sellers the opportunity to increase the price they are paid it is actually the buyer who benefits from the existence of the litigation process.  This result would be reversed if it were the sellers who made offers to the buyer.</w:t>
      </w:r>
      <w:r w:rsidR="006C30D4" w:rsidRPr="00580014">
        <w:rPr>
          <w:rFonts w:ascii="Times New Roman" w:eastAsiaTheme="minorEastAsia" w:hAnsi="Times New Roman" w:cs="Times New Roman"/>
          <w:sz w:val="24"/>
          <w:szCs w:val="24"/>
        </w:rPr>
        <w:t xml:space="preserve"> </w:t>
      </w:r>
    </w:p>
    <w:p w14:paraId="7AC7FB75" w14:textId="77777777" w:rsidR="00150F9A" w:rsidRDefault="00150F9A" w:rsidP="00027F3F">
      <w:pPr>
        <w:rPr>
          <w:rFonts w:ascii="Times New Roman" w:eastAsiaTheme="minorEastAsia" w:hAnsi="Times New Roman" w:cs="Times New Roman"/>
          <w:b/>
          <w:sz w:val="24"/>
          <w:szCs w:val="24"/>
        </w:rPr>
      </w:pPr>
    </w:p>
    <w:p w14:paraId="6506A9B1" w14:textId="77777777" w:rsidR="00150F9A" w:rsidRDefault="00150F9A" w:rsidP="00027F3F">
      <w:pPr>
        <w:rPr>
          <w:rFonts w:ascii="Times New Roman" w:eastAsiaTheme="minorEastAsia" w:hAnsi="Times New Roman" w:cs="Times New Roman"/>
          <w:b/>
          <w:sz w:val="24"/>
          <w:szCs w:val="24"/>
        </w:rPr>
      </w:pPr>
    </w:p>
    <w:p w14:paraId="4F24C40A" w14:textId="77777777" w:rsidR="008D574E" w:rsidRPr="00580014" w:rsidRDefault="008D574E" w:rsidP="00027F3F">
      <w:pPr>
        <w:rPr>
          <w:rFonts w:ascii="Times New Roman" w:eastAsiaTheme="minorEastAsia" w:hAnsi="Times New Roman" w:cs="Times New Roman"/>
          <w:b/>
          <w:sz w:val="24"/>
          <w:szCs w:val="24"/>
        </w:rPr>
      </w:pPr>
      <w:r w:rsidRPr="00580014">
        <w:rPr>
          <w:rFonts w:ascii="Times New Roman" w:eastAsiaTheme="minorEastAsia" w:hAnsi="Times New Roman" w:cs="Times New Roman"/>
          <w:b/>
          <w:sz w:val="24"/>
          <w:szCs w:val="24"/>
        </w:rPr>
        <w:t>IV. Experimental Design</w:t>
      </w:r>
    </w:p>
    <w:p w14:paraId="508191F8" w14:textId="77777777" w:rsidR="008D574E" w:rsidRPr="00580014" w:rsidRDefault="008D574E" w:rsidP="008D574E">
      <w:pPr>
        <w:spacing w:line="480" w:lineRule="auto"/>
        <w:rPr>
          <w:rFonts w:ascii="Times New Roman" w:eastAsiaTheme="minorEastAsia" w:hAnsi="Times New Roman" w:cs="Times New Roman"/>
          <w:i/>
          <w:sz w:val="24"/>
          <w:szCs w:val="24"/>
        </w:rPr>
      </w:pPr>
      <w:r w:rsidRPr="00580014">
        <w:rPr>
          <w:rFonts w:ascii="Times New Roman" w:eastAsiaTheme="minorEastAsia" w:hAnsi="Times New Roman" w:cs="Times New Roman"/>
          <w:i/>
          <w:sz w:val="24"/>
          <w:szCs w:val="24"/>
        </w:rPr>
        <w:t>A. Treatments and Procedures</w:t>
      </w:r>
    </w:p>
    <w:p w14:paraId="15C9A4DF" w14:textId="77777777" w:rsidR="00B31E08" w:rsidRPr="00580014" w:rsidRDefault="008D574E">
      <w:pPr>
        <w:spacing w:line="480" w:lineRule="auto"/>
        <w:jc w:val="both"/>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ab/>
        <w:t xml:space="preserve">We conducted experiments in </w:t>
      </w:r>
      <w:r w:rsidR="00CB1881" w:rsidRPr="00580014">
        <w:rPr>
          <w:rFonts w:ascii="Times New Roman" w:eastAsiaTheme="minorEastAsia" w:hAnsi="Times New Roman" w:cs="Times New Roman"/>
          <w:sz w:val="24"/>
          <w:szCs w:val="24"/>
        </w:rPr>
        <w:t xml:space="preserve">three </w:t>
      </w:r>
      <w:r w:rsidRPr="00580014">
        <w:rPr>
          <w:rFonts w:ascii="Times New Roman" w:eastAsiaTheme="minorEastAsia" w:hAnsi="Times New Roman" w:cs="Times New Roman"/>
          <w:sz w:val="24"/>
          <w:szCs w:val="24"/>
        </w:rPr>
        <w:t xml:space="preserve">separate treatment conditions with the characteristics described in the previous section.  </w:t>
      </w:r>
      <w:r w:rsidR="006B3F47" w:rsidRPr="00580014">
        <w:rPr>
          <w:rFonts w:ascii="Times New Roman" w:eastAsiaTheme="minorEastAsia" w:hAnsi="Times New Roman" w:cs="Times New Roman"/>
          <w:sz w:val="24"/>
          <w:szCs w:val="24"/>
        </w:rPr>
        <w:t>T</w:t>
      </w:r>
      <w:r w:rsidRPr="00580014">
        <w:rPr>
          <w:rFonts w:ascii="Times New Roman" w:eastAsiaTheme="minorEastAsia" w:hAnsi="Times New Roman" w:cs="Times New Roman"/>
          <w:sz w:val="24"/>
          <w:szCs w:val="24"/>
        </w:rPr>
        <w:t xml:space="preserve">o keep the participants’ decisions based on their own profit calculations and not on their personal feelings about land assembly and eminent domain, we described the decision space as neutrally as possible.  We </w:t>
      </w:r>
      <w:r w:rsidR="00717C87" w:rsidRPr="00580014">
        <w:rPr>
          <w:rFonts w:ascii="Times New Roman" w:eastAsiaTheme="minorEastAsia" w:hAnsi="Times New Roman" w:cs="Times New Roman"/>
          <w:sz w:val="24"/>
          <w:szCs w:val="24"/>
        </w:rPr>
        <w:t xml:space="preserve">called </w:t>
      </w:r>
      <w:r w:rsidRPr="00580014">
        <w:rPr>
          <w:rFonts w:ascii="Times New Roman" w:eastAsiaTheme="minorEastAsia" w:hAnsi="Times New Roman" w:cs="Times New Roman"/>
          <w:sz w:val="24"/>
          <w:szCs w:val="24"/>
        </w:rPr>
        <w:t xml:space="preserve">the parcels of land “inputs” that the buyer wished to purchase. </w:t>
      </w:r>
      <w:r w:rsidR="00717C87" w:rsidRPr="00580014">
        <w:rPr>
          <w:rFonts w:ascii="Times New Roman" w:eastAsiaTheme="minorEastAsia" w:hAnsi="Times New Roman" w:cs="Times New Roman"/>
          <w:sz w:val="24"/>
          <w:szCs w:val="24"/>
        </w:rPr>
        <w:t>W</w:t>
      </w:r>
      <w:r w:rsidRPr="00580014">
        <w:rPr>
          <w:rFonts w:ascii="Times New Roman" w:eastAsiaTheme="minorEastAsia" w:hAnsi="Times New Roman" w:cs="Times New Roman"/>
          <w:sz w:val="24"/>
          <w:szCs w:val="24"/>
        </w:rPr>
        <w:t>e referred to a “forced sale” rather than eminent domain or condemnation, and a “contest” rather than a litigation process.  Participants made their decisions through an electronic computer interface.</w:t>
      </w:r>
      <w:r w:rsidR="00717C87" w:rsidRPr="00580014">
        <w:rPr>
          <w:rFonts w:ascii="Times New Roman" w:eastAsiaTheme="minorEastAsia" w:hAnsi="Times New Roman" w:cs="Times New Roman"/>
          <w:sz w:val="24"/>
          <w:szCs w:val="24"/>
        </w:rPr>
        <w:t xml:space="preserve">  The three treatments proceeded as follows:</w:t>
      </w:r>
    </w:p>
    <w:p w14:paraId="73C6C751" w14:textId="77777777" w:rsidR="00B31E08" w:rsidRPr="00580014" w:rsidRDefault="008D574E">
      <w:pPr>
        <w:pStyle w:val="ListParagraph"/>
        <w:numPr>
          <w:ilvl w:val="0"/>
          <w:numId w:val="2"/>
        </w:numPr>
        <w:spacing w:line="480" w:lineRule="auto"/>
        <w:jc w:val="both"/>
        <w:rPr>
          <w:rFonts w:ascii="Times New Roman" w:eastAsiaTheme="minorEastAsia" w:hAnsi="Times New Roman" w:cs="Times New Roman"/>
          <w:sz w:val="24"/>
          <w:szCs w:val="24"/>
        </w:rPr>
      </w:pPr>
      <w:r w:rsidRPr="00580014">
        <w:rPr>
          <w:rFonts w:ascii="Times New Roman" w:eastAsiaTheme="minorEastAsia" w:hAnsi="Times New Roman" w:cs="Times New Roman"/>
          <w:i/>
          <w:sz w:val="24"/>
          <w:szCs w:val="24"/>
        </w:rPr>
        <w:t>Baseline</w:t>
      </w:r>
      <w:r w:rsidRPr="00580014">
        <w:rPr>
          <w:rFonts w:ascii="Times New Roman" w:eastAsiaTheme="minorEastAsia" w:hAnsi="Times New Roman" w:cs="Times New Roman"/>
          <w:sz w:val="24"/>
          <w:szCs w:val="24"/>
        </w:rPr>
        <w:t xml:space="preserve">: Buyers and sellers saw a matrix of two squares labeled (1) and (2), which represented the sellers’ inputs.  In the first negotiating period the buyer submitted simultaneous private offers to both sellers.  Each seller saw her offer in her square of the matrix and indicated her decision by clicking one of two buttons labelled “accept” and “reject.”  Once a seller had accepted an offer negotiations for her input ceased at the price she had agreed to.  If at least one seller had rejected her offer the negotiation went on to the next period.  </w:t>
      </w:r>
      <w:r w:rsidR="00717C87" w:rsidRPr="00580014">
        <w:rPr>
          <w:rFonts w:ascii="Times New Roman" w:eastAsiaTheme="minorEastAsia" w:hAnsi="Times New Roman" w:cs="Times New Roman"/>
          <w:sz w:val="24"/>
          <w:szCs w:val="24"/>
        </w:rPr>
        <w:t>All participants in a group incurred a</w:t>
      </w:r>
      <w:r w:rsidRPr="00580014">
        <w:rPr>
          <w:rFonts w:ascii="Times New Roman" w:eastAsiaTheme="minorEastAsia" w:hAnsi="Times New Roman" w:cs="Times New Roman"/>
          <w:sz w:val="24"/>
          <w:szCs w:val="24"/>
        </w:rPr>
        <w:t xml:space="preserve"> delay cost of 5% of the</w:t>
      </w:r>
      <w:r w:rsidR="00717C87" w:rsidRPr="00580014">
        <w:rPr>
          <w:rFonts w:ascii="Times New Roman" w:eastAsiaTheme="minorEastAsia" w:hAnsi="Times New Roman" w:cs="Times New Roman"/>
          <w:sz w:val="24"/>
          <w:szCs w:val="24"/>
        </w:rPr>
        <w:t>ir</w:t>
      </w:r>
      <w:r w:rsidRPr="00580014">
        <w:rPr>
          <w:rFonts w:ascii="Times New Roman" w:eastAsiaTheme="minorEastAsia" w:hAnsi="Times New Roman" w:cs="Times New Roman"/>
          <w:sz w:val="24"/>
          <w:szCs w:val="24"/>
        </w:rPr>
        <w:t xml:space="preserve"> </w:t>
      </w:r>
      <w:r w:rsidR="00717C87" w:rsidRPr="00580014">
        <w:rPr>
          <w:rFonts w:ascii="Times New Roman" w:eastAsiaTheme="minorEastAsia" w:hAnsi="Times New Roman" w:cs="Times New Roman"/>
          <w:sz w:val="24"/>
          <w:szCs w:val="24"/>
        </w:rPr>
        <w:t xml:space="preserve">earnings </w:t>
      </w:r>
      <w:r w:rsidRPr="00580014">
        <w:rPr>
          <w:rFonts w:ascii="Times New Roman" w:eastAsiaTheme="minorEastAsia" w:hAnsi="Times New Roman" w:cs="Times New Roman"/>
          <w:sz w:val="24"/>
          <w:szCs w:val="24"/>
        </w:rPr>
        <w:t>every time a period ended without successful assembly.  Contracts were contingent; the buyer only paid a seller the agreed price if both sellers accepted an offer.</w:t>
      </w:r>
      <w:r w:rsidR="00782626" w:rsidRPr="00580014">
        <w:rPr>
          <w:rFonts w:ascii="Times New Roman" w:eastAsiaTheme="minorEastAsia" w:hAnsi="Times New Roman" w:cs="Times New Roman"/>
          <w:sz w:val="24"/>
          <w:szCs w:val="24"/>
        </w:rPr>
        <w:t xml:space="preserve"> </w:t>
      </w:r>
    </w:p>
    <w:p w14:paraId="2BD95322" w14:textId="77777777" w:rsidR="00B31E08" w:rsidRPr="00580014" w:rsidRDefault="008D574E">
      <w:pPr>
        <w:pStyle w:val="ListParagraph"/>
        <w:numPr>
          <w:ilvl w:val="0"/>
          <w:numId w:val="2"/>
        </w:numPr>
        <w:spacing w:line="480" w:lineRule="auto"/>
        <w:jc w:val="both"/>
        <w:rPr>
          <w:rFonts w:ascii="Times New Roman" w:eastAsiaTheme="minorEastAsia" w:hAnsi="Times New Roman" w:cs="Times New Roman"/>
          <w:sz w:val="24"/>
          <w:szCs w:val="24"/>
        </w:rPr>
      </w:pPr>
      <w:r w:rsidRPr="00580014">
        <w:rPr>
          <w:rFonts w:ascii="Times New Roman" w:eastAsiaTheme="minorEastAsia" w:hAnsi="Times New Roman" w:cs="Times New Roman"/>
          <w:i/>
          <w:sz w:val="24"/>
          <w:szCs w:val="24"/>
        </w:rPr>
        <w:t>Competition</w:t>
      </w:r>
      <w:r w:rsidRPr="00580014">
        <w:rPr>
          <w:rFonts w:ascii="Times New Roman" w:eastAsiaTheme="minorEastAsia" w:hAnsi="Times New Roman" w:cs="Times New Roman"/>
          <w:sz w:val="24"/>
          <w:szCs w:val="24"/>
        </w:rPr>
        <w:t xml:space="preserve">: Negotiation proceeded as in the </w:t>
      </w:r>
      <w:r w:rsidRPr="00580014">
        <w:rPr>
          <w:rFonts w:ascii="Times New Roman" w:eastAsiaTheme="minorEastAsia" w:hAnsi="Times New Roman" w:cs="Times New Roman"/>
          <w:i/>
          <w:sz w:val="24"/>
          <w:szCs w:val="24"/>
        </w:rPr>
        <w:t>Baseline</w:t>
      </w:r>
      <w:r w:rsidRPr="00580014">
        <w:rPr>
          <w:rFonts w:ascii="Times New Roman" w:eastAsiaTheme="minorEastAsia" w:hAnsi="Times New Roman" w:cs="Times New Roman"/>
          <w:sz w:val="24"/>
          <w:szCs w:val="24"/>
        </w:rPr>
        <w:t xml:space="preserve"> treatment, except that in addition to the two sellers of fragmented inputs (called the primary sellers in this treatment), there was an alternative seller offering a substitute input.  The substitute input was displayed on participants’ screens as a rectangle to the right of the matrix representing the primary inputs.  In each period the buyer first made offers to the primary sellers.  If </w:t>
      </w:r>
      <w:r w:rsidR="00C574AF" w:rsidRPr="00580014">
        <w:rPr>
          <w:rFonts w:ascii="Times New Roman" w:eastAsiaTheme="minorEastAsia" w:hAnsi="Times New Roman" w:cs="Times New Roman"/>
          <w:sz w:val="24"/>
          <w:szCs w:val="24"/>
        </w:rPr>
        <w:t>he</w:t>
      </w:r>
      <w:r w:rsidRPr="00580014">
        <w:rPr>
          <w:rFonts w:ascii="Times New Roman" w:eastAsiaTheme="minorEastAsia" w:hAnsi="Times New Roman" w:cs="Times New Roman"/>
          <w:sz w:val="24"/>
          <w:szCs w:val="24"/>
        </w:rPr>
        <w:t xml:space="preserve"> failed to purchase both primary inputs he then </w:t>
      </w:r>
      <w:r w:rsidR="00C574AF" w:rsidRPr="00580014">
        <w:rPr>
          <w:rFonts w:ascii="Times New Roman" w:eastAsiaTheme="minorEastAsia" w:hAnsi="Times New Roman" w:cs="Times New Roman"/>
          <w:sz w:val="24"/>
          <w:szCs w:val="24"/>
        </w:rPr>
        <w:t xml:space="preserve">made </w:t>
      </w:r>
      <w:r w:rsidRPr="00580014">
        <w:rPr>
          <w:rFonts w:ascii="Times New Roman" w:eastAsiaTheme="minorEastAsia" w:hAnsi="Times New Roman" w:cs="Times New Roman"/>
          <w:sz w:val="24"/>
          <w:szCs w:val="24"/>
        </w:rPr>
        <w:t xml:space="preserve">an offer to the alternative seller.  If </w:t>
      </w:r>
      <w:r w:rsidR="00C574AF" w:rsidRPr="00580014">
        <w:rPr>
          <w:rFonts w:ascii="Times New Roman" w:eastAsiaTheme="minorEastAsia" w:hAnsi="Times New Roman" w:cs="Times New Roman"/>
          <w:sz w:val="24"/>
          <w:szCs w:val="24"/>
        </w:rPr>
        <w:t>she</w:t>
      </w:r>
      <w:r w:rsidRPr="00580014">
        <w:rPr>
          <w:rFonts w:ascii="Times New Roman" w:eastAsiaTheme="minorEastAsia" w:hAnsi="Times New Roman" w:cs="Times New Roman"/>
          <w:sz w:val="24"/>
          <w:szCs w:val="24"/>
        </w:rPr>
        <w:t xml:space="preserve"> accepted his offer then negotiation concluded without further attempts to assemble the primary inputs.  If she rejected </w:t>
      </w:r>
      <w:r w:rsidR="00C574AF" w:rsidRPr="00580014">
        <w:rPr>
          <w:rFonts w:ascii="Times New Roman" w:eastAsiaTheme="minorEastAsia" w:hAnsi="Times New Roman" w:cs="Times New Roman"/>
          <w:sz w:val="24"/>
          <w:szCs w:val="24"/>
        </w:rPr>
        <w:t>it</w:t>
      </w:r>
      <w:r w:rsidRPr="00580014">
        <w:rPr>
          <w:rFonts w:ascii="Times New Roman" w:eastAsiaTheme="minorEastAsia" w:hAnsi="Times New Roman" w:cs="Times New Roman"/>
          <w:sz w:val="24"/>
          <w:szCs w:val="24"/>
        </w:rPr>
        <w:t xml:space="preserve"> then negotiation proceeded to the next period.  The delay cost </w:t>
      </w:r>
      <w:r w:rsidR="002C27AD">
        <w:rPr>
          <w:rFonts w:ascii="Times New Roman" w:eastAsiaTheme="minorEastAsia" w:hAnsi="Times New Roman" w:cs="Times New Roman"/>
          <w:sz w:val="24"/>
          <w:szCs w:val="24"/>
        </w:rPr>
        <w:t xml:space="preserve">for the period </w:t>
      </w:r>
      <w:r w:rsidRPr="00580014">
        <w:rPr>
          <w:rFonts w:ascii="Times New Roman" w:eastAsiaTheme="minorEastAsia" w:hAnsi="Times New Roman" w:cs="Times New Roman"/>
          <w:sz w:val="24"/>
          <w:szCs w:val="24"/>
        </w:rPr>
        <w:t xml:space="preserve">was only incurred if the alternative seller rejected her offer.  Contracts were contingent, as above.  </w:t>
      </w:r>
    </w:p>
    <w:p w14:paraId="4B56F79F" w14:textId="77777777" w:rsidR="00B31E08" w:rsidRPr="00580014" w:rsidRDefault="008D574E">
      <w:pPr>
        <w:pStyle w:val="ListParagraph"/>
        <w:numPr>
          <w:ilvl w:val="0"/>
          <w:numId w:val="2"/>
        </w:numPr>
        <w:spacing w:line="480" w:lineRule="auto"/>
        <w:jc w:val="both"/>
        <w:rPr>
          <w:rFonts w:ascii="Times New Roman" w:eastAsiaTheme="minorEastAsia" w:hAnsi="Times New Roman" w:cs="Times New Roman"/>
          <w:sz w:val="24"/>
          <w:szCs w:val="24"/>
        </w:rPr>
      </w:pPr>
      <w:r w:rsidRPr="00580014">
        <w:rPr>
          <w:rFonts w:ascii="Times New Roman" w:eastAsiaTheme="minorEastAsia" w:hAnsi="Times New Roman" w:cs="Times New Roman"/>
          <w:i/>
          <w:sz w:val="24"/>
          <w:szCs w:val="24"/>
        </w:rPr>
        <w:t>Eminent Domain</w:t>
      </w:r>
      <w:r w:rsidRPr="00580014">
        <w:rPr>
          <w:rFonts w:ascii="Times New Roman" w:eastAsiaTheme="minorEastAsia" w:hAnsi="Times New Roman" w:cs="Times New Roman"/>
          <w:sz w:val="24"/>
          <w:szCs w:val="24"/>
        </w:rPr>
        <w:t xml:space="preserve">:  Negotiation proceeded as in the </w:t>
      </w:r>
      <w:r w:rsidRPr="00580014">
        <w:rPr>
          <w:rFonts w:ascii="Times New Roman" w:eastAsiaTheme="minorEastAsia" w:hAnsi="Times New Roman" w:cs="Times New Roman"/>
          <w:i/>
          <w:sz w:val="24"/>
          <w:szCs w:val="24"/>
        </w:rPr>
        <w:t>Baseline</w:t>
      </w:r>
      <w:r w:rsidRPr="00580014">
        <w:rPr>
          <w:rFonts w:ascii="Times New Roman" w:eastAsiaTheme="minorEastAsia" w:hAnsi="Times New Roman" w:cs="Times New Roman"/>
          <w:sz w:val="24"/>
          <w:szCs w:val="24"/>
        </w:rPr>
        <w:t xml:space="preserve"> treatment except that after the sellers had responded to their offers the buyer had the option of forcing any seller who had rejected his offer to sell to him.  This was done by clicking a button labelled “Force Sale” next to a seller’s input.  </w:t>
      </w:r>
      <w:r w:rsidR="00AA1E8B" w:rsidRPr="00580014">
        <w:rPr>
          <w:rFonts w:ascii="Times New Roman" w:eastAsiaTheme="minorEastAsia" w:hAnsi="Times New Roman" w:cs="Times New Roman"/>
          <w:sz w:val="24"/>
          <w:szCs w:val="24"/>
        </w:rPr>
        <w:t xml:space="preserve">If a buyer forced a </w:t>
      </w:r>
      <w:r w:rsidR="00583C28" w:rsidRPr="00580014">
        <w:rPr>
          <w:rFonts w:ascii="Times New Roman" w:eastAsiaTheme="minorEastAsia" w:hAnsi="Times New Roman" w:cs="Times New Roman"/>
          <w:sz w:val="24"/>
          <w:szCs w:val="24"/>
        </w:rPr>
        <w:t>sale</w:t>
      </w:r>
      <w:r w:rsidR="00AA1E8B" w:rsidRPr="00580014">
        <w:rPr>
          <w:rFonts w:ascii="Times New Roman" w:eastAsiaTheme="minorEastAsia" w:hAnsi="Times New Roman" w:cs="Times New Roman"/>
          <w:sz w:val="24"/>
          <w:szCs w:val="24"/>
        </w:rPr>
        <w:t xml:space="preserve"> then both he and the seller entered an amount to spend and the price was determined according to a Tullock Contest, as described in the previous section.  Neither the buyer nor the seller were allowed to spend so much in the contest that they could make negative earnings.  The most the seller was allowed to spend was equal to the low price that could result from the contest.  The most that the buyer was allowed to spend was calculated based on his value for the matrix of inputs and any price he had already agreed to or other contest he was in.  This maximum was calculated so that even if the buyer had to pay the high price in the contest his total expenditures would not exceed his value.  </w:t>
      </w:r>
      <w:r w:rsidRPr="00580014">
        <w:rPr>
          <w:rFonts w:ascii="Times New Roman" w:eastAsiaTheme="minorEastAsia" w:hAnsi="Times New Roman" w:cs="Times New Roman"/>
          <w:sz w:val="24"/>
          <w:szCs w:val="24"/>
        </w:rPr>
        <w:t>The buyer could exercise his option to force a sale in any period.  The buyer could not force a sale on a seller who had accepted his offer.  The delay cost was incurred at the end of a period only if at least one seller rejected her offer and the buyer chose not to force her to sell. A buyer did not have to pay for either input if he did not acquire both, even if he had forced a seller to sell.</w:t>
      </w:r>
    </w:p>
    <w:p w14:paraId="62667869" w14:textId="77777777" w:rsidR="00B31E08" w:rsidRPr="00580014" w:rsidRDefault="008D574E">
      <w:pPr>
        <w:spacing w:line="480" w:lineRule="auto"/>
        <w:ind w:firstLine="720"/>
        <w:jc w:val="both"/>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 xml:space="preserve">Negotiations in all treatments were strictly private.  Sellers never saw one another’s offers, nor were they informed whether another seller had accepted her offer except when the buyer was successful in assembling the primary inputs or purchasing the alternative input.  In the </w:t>
      </w:r>
      <w:r w:rsidR="00AA1E8B" w:rsidRPr="00580014">
        <w:rPr>
          <w:rFonts w:ascii="Times New Roman" w:eastAsiaTheme="minorEastAsia" w:hAnsi="Times New Roman" w:cs="Times New Roman"/>
          <w:i/>
          <w:sz w:val="24"/>
          <w:szCs w:val="24"/>
        </w:rPr>
        <w:t>Eminent Domain</w:t>
      </w:r>
      <w:r w:rsidR="00AA1E8B" w:rsidRPr="00580014">
        <w:rPr>
          <w:rFonts w:ascii="Times New Roman" w:eastAsiaTheme="minorEastAsia" w:hAnsi="Times New Roman" w:cs="Times New Roman"/>
          <w:sz w:val="24"/>
          <w:szCs w:val="24"/>
        </w:rPr>
        <w:t xml:space="preserve"> treatment</w:t>
      </w:r>
      <w:r w:rsidRPr="00580014">
        <w:rPr>
          <w:rFonts w:ascii="Times New Roman" w:eastAsiaTheme="minorEastAsia" w:hAnsi="Times New Roman" w:cs="Times New Roman"/>
          <w:sz w:val="24"/>
          <w:szCs w:val="24"/>
        </w:rPr>
        <w:t xml:space="preserve"> sellers did not know if the other seller in their group had been forced to sell.  When competing in a contest neither the buyer nor the seller were told how much their opponent had spent.</w:t>
      </w:r>
    </w:p>
    <w:p w14:paraId="10263255" w14:textId="77777777" w:rsidR="00B31E08" w:rsidRPr="00580014" w:rsidRDefault="008D574E">
      <w:pPr>
        <w:spacing w:line="480" w:lineRule="auto"/>
        <w:ind w:firstLine="720"/>
        <w:jc w:val="both"/>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We recruited 15</w:t>
      </w:r>
      <w:r w:rsidR="0003454C" w:rsidRPr="00580014">
        <w:rPr>
          <w:rFonts w:ascii="Times New Roman" w:eastAsiaTheme="minorEastAsia" w:hAnsi="Times New Roman" w:cs="Times New Roman"/>
          <w:sz w:val="24"/>
          <w:szCs w:val="24"/>
        </w:rPr>
        <w:t>0</w:t>
      </w:r>
      <w:r w:rsidRPr="00580014">
        <w:rPr>
          <w:rFonts w:ascii="Times New Roman" w:eastAsiaTheme="minorEastAsia" w:hAnsi="Times New Roman" w:cs="Times New Roman"/>
          <w:sz w:val="24"/>
          <w:szCs w:val="24"/>
        </w:rPr>
        <w:t xml:space="preserve"> undergraduate and graduate students at a university in the American Southwest.  The participants came from a pool of approximately 2,000 who had signed up in advance to participate in economic experiments.  Each participant participated in only one treatment.  We paid the</w:t>
      </w:r>
      <w:r w:rsidR="00266CC1" w:rsidRPr="00580014">
        <w:rPr>
          <w:rFonts w:ascii="Times New Roman" w:eastAsiaTheme="minorEastAsia" w:hAnsi="Times New Roman" w:cs="Times New Roman"/>
          <w:sz w:val="24"/>
          <w:szCs w:val="24"/>
        </w:rPr>
        <w:t>m</w:t>
      </w:r>
      <w:r w:rsidRPr="00580014">
        <w:rPr>
          <w:rFonts w:ascii="Times New Roman" w:eastAsiaTheme="minorEastAsia" w:hAnsi="Times New Roman" w:cs="Times New Roman"/>
          <w:sz w:val="24"/>
          <w:szCs w:val="24"/>
        </w:rPr>
        <w:t xml:space="preserve"> $7 for attending in addition to earnings that they received from their decisions in the experiment.  The average decision-based earnings were $16.22.  Each experimental session lasted between 30 and 60 minutes, inclu</w:t>
      </w:r>
      <w:r w:rsidR="001B7D0A" w:rsidRPr="00580014">
        <w:rPr>
          <w:rFonts w:ascii="Times New Roman" w:eastAsiaTheme="minorEastAsia" w:hAnsi="Times New Roman" w:cs="Times New Roman"/>
          <w:sz w:val="24"/>
          <w:szCs w:val="24"/>
        </w:rPr>
        <w:t>ding</w:t>
      </w:r>
      <w:r w:rsidRPr="00580014">
        <w:rPr>
          <w:rFonts w:ascii="Times New Roman" w:eastAsiaTheme="minorEastAsia" w:hAnsi="Times New Roman" w:cs="Times New Roman"/>
          <w:sz w:val="24"/>
          <w:szCs w:val="24"/>
        </w:rPr>
        <w:t xml:space="preserve"> time for instructions.</w:t>
      </w:r>
    </w:p>
    <w:p w14:paraId="2465A6B8" w14:textId="77777777" w:rsidR="00B31E08" w:rsidRPr="00580014" w:rsidRDefault="008D574E">
      <w:pPr>
        <w:spacing w:line="480" w:lineRule="auto"/>
        <w:ind w:firstLine="720"/>
        <w:jc w:val="both"/>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 xml:space="preserve">Participants were seated in at desks separated by privacy dividers.  At each desk was a half-page summary of the rules of the experiment as well as important parameter information, such as the distributions from which values would be drawn.  An experimenter read </w:t>
      </w:r>
      <w:r w:rsidR="00C436B0" w:rsidRPr="00580014">
        <w:rPr>
          <w:rFonts w:ascii="Times New Roman" w:eastAsiaTheme="minorEastAsia" w:hAnsi="Times New Roman" w:cs="Times New Roman"/>
          <w:sz w:val="24"/>
          <w:szCs w:val="24"/>
        </w:rPr>
        <w:t xml:space="preserve">the instructions </w:t>
      </w:r>
      <w:r w:rsidRPr="00580014">
        <w:rPr>
          <w:rFonts w:ascii="Times New Roman" w:eastAsiaTheme="minorEastAsia" w:hAnsi="Times New Roman" w:cs="Times New Roman"/>
          <w:sz w:val="24"/>
          <w:szCs w:val="24"/>
        </w:rPr>
        <w:t>aloud from a script.  A screen at the front of the lab was used to display various features of the user interface.  At predetermined locations in the script the experimenter paused and asked the participants if they had questions and answered any that were forthcoming.</w:t>
      </w:r>
    </w:p>
    <w:p w14:paraId="6AB9B164" w14:textId="77777777" w:rsidR="00B31E08" w:rsidRPr="00580014" w:rsidRDefault="008D574E">
      <w:pPr>
        <w:spacing w:line="480" w:lineRule="auto"/>
        <w:ind w:firstLine="720"/>
        <w:jc w:val="both"/>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Each experimental session consisted of three rounds.  Each round was a separate negotiation.  Participants took the same role in every round, but were matched into different groups</w:t>
      </w:r>
      <w:r w:rsidR="00E5546B" w:rsidRPr="00580014">
        <w:rPr>
          <w:rFonts w:ascii="Times New Roman" w:eastAsiaTheme="minorEastAsia" w:hAnsi="Times New Roman" w:cs="Times New Roman"/>
          <w:sz w:val="24"/>
          <w:szCs w:val="24"/>
        </w:rPr>
        <w:t xml:space="preserve"> for each round</w:t>
      </w:r>
      <w:r w:rsidRPr="00580014">
        <w:rPr>
          <w:rFonts w:ascii="Times New Roman" w:eastAsiaTheme="minorEastAsia" w:hAnsi="Times New Roman" w:cs="Times New Roman"/>
          <w:sz w:val="24"/>
          <w:szCs w:val="24"/>
        </w:rPr>
        <w:t xml:space="preserve">.  </w:t>
      </w:r>
      <w:r w:rsidR="006B3F47" w:rsidRPr="00580014">
        <w:rPr>
          <w:rFonts w:ascii="Times New Roman" w:eastAsiaTheme="minorEastAsia" w:hAnsi="Times New Roman" w:cs="Times New Roman"/>
          <w:sz w:val="24"/>
          <w:szCs w:val="24"/>
        </w:rPr>
        <w:t>T</w:t>
      </w:r>
      <w:r w:rsidRPr="00580014">
        <w:rPr>
          <w:rFonts w:ascii="Times New Roman" w:eastAsiaTheme="minorEastAsia" w:hAnsi="Times New Roman" w:cs="Times New Roman"/>
          <w:sz w:val="24"/>
          <w:szCs w:val="24"/>
        </w:rPr>
        <w:t xml:space="preserve">o keep the negotiations independent </w:t>
      </w:r>
      <w:r w:rsidR="00E5546B" w:rsidRPr="00580014">
        <w:rPr>
          <w:rFonts w:ascii="Times New Roman" w:eastAsiaTheme="minorEastAsia" w:hAnsi="Times New Roman" w:cs="Times New Roman"/>
          <w:sz w:val="24"/>
          <w:szCs w:val="24"/>
        </w:rPr>
        <w:t>across</w:t>
      </w:r>
      <w:r w:rsidRPr="00580014">
        <w:rPr>
          <w:rFonts w:ascii="Times New Roman" w:eastAsiaTheme="minorEastAsia" w:hAnsi="Times New Roman" w:cs="Times New Roman"/>
          <w:sz w:val="24"/>
          <w:szCs w:val="24"/>
        </w:rPr>
        <w:t xml:space="preserve"> round</w:t>
      </w:r>
      <w:r w:rsidR="00E5546B" w:rsidRPr="00580014">
        <w:rPr>
          <w:rFonts w:ascii="Times New Roman" w:eastAsiaTheme="minorEastAsia" w:hAnsi="Times New Roman" w:cs="Times New Roman"/>
          <w:sz w:val="24"/>
          <w:szCs w:val="24"/>
        </w:rPr>
        <w:t>s</w:t>
      </w:r>
      <w:r w:rsidRPr="00580014">
        <w:rPr>
          <w:rFonts w:ascii="Times New Roman" w:eastAsiaTheme="minorEastAsia" w:hAnsi="Times New Roman" w:cs="Times New Roman"/>
          <w:sz w:val="24"/>
          <w:szCs w:val="24"/>
        </w:rPr>
        <w:t xml:space="preserve"> we re-matched the participants so that they were never grouped with any of the same counterparts more than once.  This prevented participants from rewarding or punishing one another for their decisions in prior rounds.  The number of rounds and uniqueness of each round’s grouping was common knowledge.</w:t>
      </w:r>
      <w:r w:rsidR="00AF1EDF" w:rsidRPr="00580014">
        <w:rPr>
          <w:rFonts w:ascii="Times New Roman" w:eastAsiaTheme="minorEastAsia" w:hAnsi="Times New Roman" w:cs="Times New Roman"/>
          <w:sz w:val="24"/>
          <w:szCs w:val="24"/>
        </w:rPr>
        <w:t xml:space="preserve">  </w:t>
      </w:r>
      <w:r w:rsidR="00E5546B" w:rsidRPr="00580014">
        <w:rPr>
          <w:rFonts w:ascii="Times New Roman" w:eastAsiaTheme="minorEastAsia" w:hAnsi="Times New Roman" w:cs="Times New Roman"/>
          <w:sz w:val="24"/>
          <w:szCs w:val="24"/>
        </w:rPr>
        <w:t>After</w:t>
      </w:r>
      <w:r w:rsidR="00AF1EDF" w:rsidRPr="00580014">
        <w:rPr>
          <w:rFonts w:ascii="Times New Roman" w:eastAsiaTheme="minorEastAsia" w:hAnsi="Times New Roman" w:cs="Times New Roman"/>
          <w:sz w:val="24"/>
          <w:szCs w:val="24"/>
        </w:rPr>
        <w:t xml:space="preserve"> the third round the computer software randomly chose one of the rounds for each participant.  The participant was paid according to </w:t>
      </w:r>
      <w:r w:rsidR="005674BA" w:rsidRPr="00580014">
        <w:rPr>
          <w:rFonts w:ascii="Times New Roman" w:eastAsiaTheme="minorEastAsia" w:hAnsi="Times New Roman" w:cs="Times New Roman"/>
          <w:sz w:val="24"/>
          <w:szCs w:val="24"/>
        </w:rPr>
        <w:t>his earnings in that round’s negotiation</w:t>
      </w:r>
      <w:r w:rsidR="00AF1EDF" w:rsidRPr="00580014">
        <w:rPr>
          <w:rFonts w:ascii="Times New Roman" w:eastAsiaTheme="minorEastAsia" w:hAnsi="Times New Roman" w:cs="Times New Roman"/>
          <w:sz w:val="24"/>
          <w:szCs w:val="24"/>
        </w:rPr>
        <w:t>.</w:t>
      </w:r>
    </w:p>
    <w:p w14:paraId="70D72D48" w14:textId="77777777" w:rsidR="00B31E08" w:rsidRPr="00580014" w:rsidRDefault="006B3F47">
      <w:pPr>
        <w:spacing w:line="480" w:lineRule="auto"/>
        <w:ind w:firstLine="720"/>
        <w:jc w:val="both"/>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T</w:t>
      </w:r>
      <w:r w:rsidR="008D574E" w:rsidRPr="00580014">
        <w:rPr>
          <w:rFonts w:ascii="Times New Roman" w:eastAsiaTheme="minorEastAsia" w:hAnsi="Times New Roman" w:cs="Times New Roman"/>
          <w:sz w:val="24"/>
          <w:szCs w:val="24"/>
        </w:rPr>
        <w:t xml:space="preserve">o facilitate unique groups we conducted the </w:t>
      </w:r>
      <w:r w:rsidR="008D574E" w:rsidRPr="00580014">
        <w:rPr>
          <w:rFonts w:ascii="Times New Roman" w:eastAsiaTheme="minorEastAsia" w:hAnsi="Times New Roman" w:cs="Times New Roman"/>
          <w:i/>
          <w:sz w:val="24"/>
          <w:szCs w:val="24"/>
        </w:rPr>
        <w:t>Baseline</w:t>
      </w:r>
      <w:r w:rsidR="008624E4" w:rsidRPr="00580014">
        <w:rPr>
          <w:rFonts w:ascii="Times New Roman" w:eastAsiaTheme="minorEastAsia" w:hAnsi="Times New Roman" w:cs="Times New Roman"/>
          <w:sz w:val="24"/>
          <w:szCs w:val="24"/>
        </w:rPr>
        <w:t xml:space="preserve"> and</w:t>
      </w:r>
      <w:r w:rsidR="008D574E" w:rsidRPr="00580014">
        <w:rPr>
          <w:rFonts w:ascii="Times New Roman" w:eastAsiaTheme="minorEastAsia" w:hAnsi="Times New Roman" w:cs="Times New Roman"/>
          <w:sz w:val="24"/>
          <w:szCs w:val="24"/>
        </w:rPr>
        <w:t xml:space="preserve"> </w:t>
      </w:r>
      <w:r w:rsidR="008D574E" w:rsidRPr="00580014">
        <w:rPr>
          <w:rFonts w:ascii="Times New Roman" w:eastAsiaTheme="minorEastAsia" w:hAnsi="Times New Roman" w:cs="Times New Roman"/>
          <w:i/>
          <w:sz w:val="24"/>
          <w:szCs w:val="24"/>
        </w:rPr>
        <w:t>Eminent Domain</w:t>
      </w:r>
      <w:r w:rsidR="008D574E" w:rsidRPr="00580014">
        <w:rPr>
          <w:rFonts w:ascii="Times New Roman" w:eastAsiaTheme="minorEastAsia" w:hAnsi="Times New Roman" w:cs="Times New Roman"/>
          <w:sz w:val="24"/>
          <w:szCs w:val="24"/>
        </w:rPr>
        <w:t xml:space="preserve"> treatments in sessions with nine participants organized into three groups – three buyers and six sellers.  This allowed us to obtain nine observations from each session.  For the </w:t>
      </w:r>
      <w:r w:rsidR="008D574E" w:rsidRPr="00580014">
        <w:rPr>
          <w:rFonts w:ascii="Times New Roman" w:eastAsiaTheme="minorEastAsia" w:hAnsi="Times New Roman" w:cs="Times New Roman"/>
          <w:i/>
          <w:sz w:val="24"/>
          <w:szCs w:val="24"/>
        </w:rPr>
        <w:t>Competition</w:t>
      </w:r>
      <w:r w:rsidR="008D574E" w:rsidRPr="00580014">
        <w:rPr>
          <w:rFonts w:ascii="Times New Roman" w:eastAsiaTheme="minorEastAsia" w:hAnsi="Times New Roman" w:cs="Times New Roman"/>
          <w:sz w:val="24"/>
          <w:szCs w:val="24"/>
        </w:rPr>
        <w:t xml:space="preserve"> treatment every session used twenty participants organized into five groups – five buyers, ten primary sellers and five alternative sellers.  This allowed us to obtain fifteen observations per session.  We conducted five sessions of the </w:t>
      </w:r>
      <w:r w:rsidR="008D574E" w:rsidRPr="00580014">
        <w:rPr>
          <w:rFonts w:ascii="Times New Roman" w:eastAsiaTheme="minorEastAsia" w:hAnsi="Times New Roman" w:cs="Times New Roman"/>
          <w:i/>
          <w:sz w:val="24"/>
          <w:szCs w:val="24"/>
        </w:rPr>
        <w:t>Baseline</w:t>
      </w:r>
      <w:r w:rsidR="008624E4" w:rsidRPr="00580014">
        <w:rPr>
          <w:rFonts w:ascii="Times New Roman" w:eastAsiaTheme="minorEastAsia" w:hAnsi="Times New Roman" w:cs="Times New Roman"/>
          <w:sz w:val="24"/>
          <w:szCs w:val="24"/>
        </w:rPr>
        <w:t xml:space="preserve"> and</w:t>
      </w:r>
      <w:r w:rsidR="008D574E" w:rsidRPr="00580014">
        <w:rPr>
          <w:rFonts w:ascii="Times New Roman" w:eastAsiaTheme="minorEastAsia" w:hAnsi="Times New Roman" w:cs="Times New Roman"/>
          <w:sz w:val="24"/>
          <w:szCs w:val="24"/>
        </w:rPr>
        <w:t xml:space="preserve"> </w:t>
      </w:r>
      <w:r w:rsidR="008D574E" w:rsidRPr="00580014">
        <w:rPr>
          <w:rFonts w:ascii="Times New Roman" w:eastAsiaTheme="minorEastAsia" w:hAnsi="Times New Roman" w:cs="Times New Roman"/>
          <w:i/>
          <w:sz w:val="24"/>
          <w:szCs w:val="24"/>
        </w:rPr>
        <w:t>Eminent Domain</w:t>
      </w:r>
      <w:r w:rsidR="008D574E" w:rsidRPr="00580014">
        <w:rPr>
          <w:rFonts w:ascii="Times New Roman" w:eastAsiaTheme="minorEastAsia" w:hAnsi="Times New Roman" w:cs="Times New Roman"/>
          <w:sz w:val="24"/>
          <w:szCs w:val="24"/>
        </w:rPr>
        <w:t xml:space="preserve"> treatments and three sessions of the </w:t>
      </w:r>
      <w:r w:rsidR="008D574E" w:rsidRPr="00580014">
        <w:rPr>
          <w:rFonts w:ascii="Times New Roman" w:eastAsiaTheme="minorEastAsia" w:hAnsi="Times New Roman" w:cs="Times New Roman"/>
          <w:i/>
          <w:sz w:val="24"/>
          <w:szCs w:val="24"/>
        </w:rPr>
        <w:t>Competition</w:t>
      </w:r>
      <w:r w:rsidR="008D574E" w:rsidRPr="00580014">
        <w:rPr>
          <w:rFonts w:ascii="Times New Roman" w:eastAsiaTheme="minorEastAsia" w:hAnsi="Times New Roman" w:cs="Times New Roman"/>
          <w:sz w:val="24"/>
          <w:szCs w:val="24"/>
        </w:rPr>
        <w:t xml:space="preserve"> treatment, giving us 45 negotiations for each treatment. (See Table 1.)</w:t>
      </w:r>
    </w:p>
    <w:p w14:paraId="09F108D6" w14:textId="77777777" w:rsidR="00F30913" w:rsidRPr="00580014" w:rsidRDefault="00F30913" w:rsidP="00F30913">
      <w:pPr>
        <w:spacing w:line="480" w:lineRule="auto"/>
        <w:jc w:val="center"/>
        <w:rPr>
          <w:rFonts w:ascii="Times New Roman" w:eastAsiaTheme="minorEastAsia" w:hAnsi="Times New Roman" w:cs="Times New Roman"/>
          <w:b/>
          <w:sz w:val="24"/>
          <w:szCs w:val="24"/>
        </w:rPr>
      </w:pPr>
      <w:r w:rsidRPr="00580014">
        <w:rPr>
          <w:rFonts w:ascii="Times New Roman" w:eastAsiaTheme="minorEastAsia" w:hAnsi="Times New Roman" w:cs="Times New Roman"/>
          <w:b/>
          <w:sz w:val="24"/>
          <w:szCs w:val="24"/>
        </w:rPr>
        <w:t>[Table 1 Here]</w:t>
      </w:r>
    </w:p>
    <w:p w14:paraId="7EECBFF2" w14:textId="77777777" w:rsidR="008D574E" w:rsidRPr="00580014" w:rsidRDefault="008D574E" w:rsidP="008D574E">
      <w:pPr>
        <w:spacing w:line="480" w:lineRule="auto"/>
        <w:rPr>
          <w:rFonts w:ascii="Times New Roman" w:eastAsiaTheme="minorEastAsia" w:hAnsi="Times New Roman" w:cs="Times New Roman"/>
          <w:i/>
          <w:sz w:val="24"/>
          <w:szCs w:val="24"/>
        </w:rPr>
      </w:pPr>
      <w:r w:rsidRPr="00580014">
        <w:rPr>
          <w:rFonts w:ascii="Times New Roman" w:eastAsiaTheme="minorEastAsia" w:hAnsi="Times New Roman" w:cs="Times New Roman"/>
          <w:i/>
          <w:sz w:val="24"/>
          <w:szCs w:val="24"/>
        </w:rPr>
        <w:t>B. Parameters and Theoretical Predictions</w:t>
      </w:r>
    </w:p>
    <w:p w14:paraId="5B8CAEAF" w14:textId="77777777" w:rsidR="00B31E08" w:rsidRPr="00580014" w:rsidRDefault="008D574E">
      <w:pPr>
        <w:spacing w:line="480" w:lineRule="auto"/>
        <w:ind w:firstLine="720"/>
        <w:jc w:val="both"/>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 xml:space="preserve">The parameters of the experiment are provided in Table 2.  All values, offers and influence costs were described in terms of points.  </w:t>
      </w:r>
      <w:r w:rsidR="00251A52" w:rsidRPr="00580014">
        <w:rPr>
          <w:rFonts w:ascii="Times New Roman" w:eastAsiaTheme="minorEastAsia" w:hAnsi="Times New Roman" w:cs="Times New Roman"/>
          <w:sz w:val="24"/>
          <w:szCs w:val="24"/>
        </w:rPr>
        <w:t xml:space="preserve">Sellers earned their input values even if they did not sell, while buyers only received payment if they assembled both parcels.  </w:t>
      </w:r>
      <w:r w:rsidRPr="00580014">
        <w:rPr>
          <w:rFonts w:ascii="Times New Roman" w:eastAsiaTheme="minorEastAsia" w:hAnsi="Times New Roman" w:cs="Times New Roman"/>
          <w:sz w:val="24"/>
          <w:szCs w:val="24"/>
        </w:rPr>
        <w:t>For this reason we varied the exchange rate between points and dollars by role.  Buyers received $1.00 for every two points, primary sellers $1.00 for every four points and alternative sellers $1.00 for every seven points</w:t>
      </w:r>
      <w:r w:rsidR="00251A52" w:rsidRPr="00580014">
        <w:rPr>
          <w:rFonts w:ascii="Times New Roman" w:eastAsiaTheme="minorEastAsia" w:hAnsi="Times New Roman" w:cs="Times New Roman"/>
          <w:sz w:val="24"/>
          <w:szCs w:val="24"/>
        </w:rPr>
        <w:t xml:space="preserve"> due to their higher average input value</w:t>
      </w:r>
      <w:r w:rsidRPr="00580014">
        <w:rPr>
          <w:rFonts w:ascii="Times New Roman" w:eastAsiaTheme="minorEastAsia" w:hAnsi="Times New Roman" w:cs="Times New Roman"/>
          <w:sz w:val="24"/>
          <w:szCs w:val="24"/>
        </w:rPr>
        <w:t xml:space="preserve">.  </w:t>
      </w:r>
      <w:r w:rsidR="00582FBB" w:rsidRPr="00580014">
        <w:rPr>
          <w:rFonts w:ascii="Times New Roman" w:eastAsiaTheme="minorEastAsia" w:hAnsi="Times New Roman" w:cs="Times New Roman"/>
          <w:sz w:val="24"/>
          <w:szCs w:val="24"/>
        </w:rPr>
        <w:t xml:space="preserve">Exchange rates were kept private, though participants </w:t>
      </w:r>
      <w:r w:rsidR="00B125E1">
        <w:rPr>
          <w:rFonts w:ascii="Times New Roman" w:eastAsiaTheme="minorEastAsia" w:hAnsi="Times New Roman" w:cs="Times New Roman"/>
          <w:sz w:val="24"/>
          <w:szCs w:val="24"/>
        </w:rPr>
        <w:t>k</w:t>
      </w:r>
      <w:r w:rsidR="00582FBB" w:rsidRPr="00580014">
        <w:rPr>
          <w:rFonts w:ascii="Times New Roman" w:eastAsiaTheme="minorEastAsia" w:hAnsi="Times New Roman" w:cs="Times New Roman"/>
          <w:sz w:val="24"/>
          <w:szCs w:val="24"/>
        </w:rPr>
        <w:t>new that their counterparts exchange rates may be different from their own</w:t>
      </w:r>
      <w:r w:rsidRPr="00580014">
        <w:rPr>
          <w:rFonts w:ascii="Times New Roman" w:eastAsiaTheme="minorEastAsia" w:hAnsi="Times New Roman" w:cs="Times New Roman"/>
          <w:sz w:val="24"/>
          <w:szCs w:val="24"/>
        </w:rPr>
        <w:t>.</w:t>
      </w:r>
    </w:p>
    <w:p w14:paraId="3F164E82" w14:textId="77777777" w:rsidR="001072BC" w:rsidRPr="00580014" w:rsidRDefault="001072BC" w:rsidP="001072BC">
      <w:pPr>
        <w:spacing w:line="480" w:lineRule="auto"/>
        <w:jc w:val="center"/>
        <w:rPr>
          <w:rFonts w:ascii="Times New Roman" w:eastAsiaTheme="minorEastAsia" w:hAnsi="Times New Roman" w:cs="Times New Roman"/>
          <w:b/>
          <w:sz w:val="24"/>
          <w:szCs w:val="24"/>
        </w:rPr>
      </w:pPr>
      <w:r w:rsidRPr="00580014">
        <w:rPr>
          <w:rFonts w:ascii="Times New Roman" w:eastAsiaTheme="minorEastAsia" w:hAnsi="Times New Roman" w:cs="Times New Roman"/>
          <w:b/>
          <w:sz w:val="24"/>
          <w:szCs w:val="24"/>
        </w:rPr>
        <w:t>[Table 2 Here]</w:t>
      </w:r>
    </w:p>
    <w:p w14:paraId="55CEB062" w14:textId="77777777" w:rsidR="00B31E08" w:rsidRPr="00580014" w:rsidRDefault="008D574E">
      <w:pPr>
        <w:spacing w:line="480" w:lineRule="auto"/>
        <w:jc w:val="both"/>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ab/>
        <w:t xml:space="preserve">The primary seller’s values (in points) were drawn from the distribution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50,100</m:t>
            </m:r>
          </m:e>
        </m:d>
      </m:oMath>
      <w:r w:rsidRPr="00580014">
        <w:rPr>
          <w:rFonts w:ascii="Times New Roman" w:eastAsiaTheme="minorEastAsia" w:hAnsi="Times New Roman" w:cs="Times New Roman"/>
          <w:sz w:val="24"/>
          <w:szCs w:val="24"/>
        </w:rPr>
        <w:t xml:space="preserve">, and the buyer’s value was drawn from the distribution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100,250</m:t>
            </m:r>
          </m:e>
        </m:d>
      </m:oMath>
      <w:r w:rsidRPr="00580014">
        <w:rPr>
          <w:rFonts w:ascii="Times New Roman" w:eastAsiaTheme="minorEastAsia" w:hAnsi="Times New Roman" w:cs="Times New Roman"/>
          <w:sz w:val="24"/>
          <w:szCs w:val="24"/>
        </w:rPr>
        <w:t xml:space="preserve">.  The expected surplus per negotiation was 25 points and the sum of the primary sellers’ values would exceed the buyer’s value in approximately one third of negotiations.  In the </w:t>
      </w:r>
      <w:r w:rsidRPr="00580014">
        <w:rPr>
          <w:rFonts w:ascii="Times New Roman" w:eastAsiaTheme="minorEastAsia" w:hAnsi="Times New Roman" w:cs="Times New Roman"/>
          <w:i/>
          <w:sz w:val="24"/>
          <w:szCs w:val="24"/>
        </w:rPr>
        <w:t>Competition</w:t>
      </w:r>
      <w:r w:rsidRPr="00580014">
        <w:rPr>
          <w:rFonts w:ascii="Times New Roman" w:eastAsiaTheme="minorEastAsia" w:hAnsi="Times New Roman" w:cs="Times New Roman"/>
          <w:sz w:val="24"/>
          <w:szCs w:val="24"/>
        </w:rPr>
        <w:t xml:space="preserve"> treatment the alternative seller’s value was drawn from the distribution [80,160].  The buyer’s value for the substitute parcel was always 80% of his value for the two primary parcels.  Th</w:t>
      </w:r>
      <w:r w:rsidR="00582FBB" w:rsidRPr="00580014">
        <w:rPr>
          <w:rFonts w:ascii="Times New Roman" w:eastAsiaTheme="minorEastAsia" w:hAnsi="Times New Roman" w:cs="Times New Roman"/>
          <w:sz w:val="24"/>
          <w:szCs w:val="24"/>
        </w:rPr>
        <w:t>ese</w:t>
      </w:r>
      <w:r w:rsidRPr="00580014">
        <w:rPr>
          <w:rFonts w:ascii="Times New Roman" w:eastAsiaTheme="minorEastAsia" w:hAnsi="Times New Roman" w:cs="Times New Roman"/>
          <w:sz w:val="24"/>
          <w:szCs w:val="24"/>
        </w:rPr>
        <w:t xml:space="preserve"> parameters meant that when there was positive surplus available with both the primary sellers and the alternative seller, assembling the primary parcels would generate more surplus in about 60% of cases.</w:t>
      </w:r>
    </w:p>
    <w:p w14:paraId="755193AA" w14:textId="15629569" w:rsidR="00B31E08" w:rsidRPr="00580014" w:rsidRDefault="008D574E">
      <w:pPr>
        <w:spacing w:line="480" w:lineRule="auto"/>
        <w:jc w:val="both"/>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ab/>
        <w:t>Negotiation proceeded for five periods.  The costs of delay were described to the participants in terms of a “multiplier,” which was displayed on their computer screens.  In the first period the multiplier was 100% and it fell by five percentage points in each subsequent period.  Participants</w:t>
      </w:r>
      <w:r w:rsidR="00AC7E25" w:rsidRPr="00580014">
        <w:rPr>
          <w:rFonts w:ascii="Times New Roman" w:eastAsiaTheme="minorEastAsia" w:hAnsi="Times New Roman" w:cs="Times New Roman"/>
          <w:sz w:val="24"/>
          <w:szCs w:val="24"/>
        </w:rPr>
        <w:t>'</w:t>
      </w:r>
      <w:r w:rsidRPr="00580014">
        <w:rPr>
          <w:rFonts w:ascii="Times New Roman" w:eastAsiaTheme="minorEastAsia" w:hAnsi="Times New Roman" w:cs="Times New Roman"/>
          <w:sz w:val="24"/>
          <w:szCs w:val="24"/>
        </w:rPr>
        <w:t xml:space="preserve"> earnings from a round </w:t>
      </w:r>
      <w:r w:rsidR="00B125E1">
        <w:rPr>
          <w:rFonts w:ascii="Times New Roman" w:eastAsiaTheme="minorEastAsia" w:hAnsi="Times New Roman" w:cs="Times New Roman"/>
          <w:sz w:val="24"/>
          <w:szCs w:val="24"/>
        </w:rPr>
        <w:t>were</w:t>
      </w:r>
      <w:r w:rsidRPr="00580014">
        <w:rPr>
          <w:rFonts w:ascii="Times New Roman" w:eastAsiaTheme="minorEastAsia" w:hAnsi="Times New Roman" w:cs="Times New Roman"/>
          <w:sz w:val="24"/>
          <w:szCs w:val="24"/>
        </w:rPr>
        <w:t xml:space="preserve"> multiplied by the multiplier to determine how many of the points they had earned in the round would actually be paid to them in cash.  If assembly (or substitute purchase) had not occurred by the end of period five the multiplier was 75%.</w:t>
      </w:r>
    </w:p>
    <w:p w14:paraId="559AC875" w14:textId="505F2FEE" w:rsidR="00B31E08" w:rsidRPr="00580014" w:rsidRDefault="008D574E">
      <w:pPr>
        <w:spacing w:line="480" w:lineRule="auto"/>
        <w:jc w:val="both"/>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ab/>
        <w:t xml:space="preserve">In the </w:t>
      </w:r>
      <w:r w:rsidRPr="00580014">
        <w:rPr>
          <w:rFonts w:ascii="Times New Roman" w:eastAsiaTheme="minorEastAsia" w:hAnsi="Times New Roman" w:cs="Times New Roman"/>
          <w:i/>
          <w:sz w:val="24"/>
          <w:szCs w:val="24"/>
        </w:rPr>
        <w:t>Eminent Domain</w:t>
      </w:r>
      <w:r w:rsidRPr="00580014">
        <w:rPr>
          <w:rFonts w:ascii="Times New Roman" w:eastAsiaTheme="minorEastAsia" w:hAnsi="Times New Roman" w:cs="Times New Roman"/>
          <w:sz w:val="24"/>
          <w:szCs w:val="24"/>
        </w:rPr>
        <w:t xml:space="preserve"> treatment the </w:t>
      </w:r>
      <w:r w:rsidR="00F91DB8" w:rsidRPr="00580014">
        <w:rPr>
          <w:rFonts w:ascii="Times New Roman" w:eastAsiaTheme="minorEastAsia" w:hAnsi="Times New Roman" w:cs="Times New Roman"/>
          <w:sz w:val="24"/>
          <w:szCs w:val="24"/>
        </w:rPr>
        <w:t>prevailing market price was</w:t>
      </w:r>
      <w:r w:rsidRPr="00580014">
        <w:rPr>
          <w:rFonts w:ascii="Times New Roman" w:eastAsiaTheme="minorEastAsia" w:hAnsi="Times New Roman" w:cs="Times New Roman"/>
          <w:sz w:val="24"/>
          <w:szCs w:val="24"/>
        </w:rPr>
        <w:t xml:space="preserve"> 50, the lower bound of the primary sellers’ value distribution.  </w:t>
      </w:r>
      <w:r w:rsidR="00F91DB8" w:rsidRPr="00580014">
        <w:rPr>
          <w:rFonts w:ascii="Times New Roman" w:eastAsiaTheme="minorEastAsia" w:hAnsi="Times New Roman" w:cs="Times New Roman"/>
          <w:sz w:val="24"/>
          <w:szCs w:val="24"/>
        </w:rPr>
        <w:t>W</w:t>
      </w:r>
      <w:r w:rsidRPr="00580014">
        <w:rPr>
          <w:rFonts w:ascii="Times New Roman" w:eastAsiaTheme="minorEastAsia" w:hAnsi="Times New Roman" w:cs="Times New Roman"/>
          <w:sz w:val="24"/>
          <w:szCs w:val="24"/>
        </w:rPr>
        <w:t xml:space="preserve">e allowed the outcome of the contest to change the price by </w:t>
      </w:r>
      <w:r w:rsidRPr="00580014">
        <w:rPr>
          <w:rFonts w:ascii="Times New Roman" w:eastAsiaTheme="minorEastAsia" w:hAnsi="Times New Roman" w:cs="Times New Roman"/>
          <w:sz w:val="24"/>
          <w:szCs w:val="24"/>
          <w:u w:val="single"/>
        </w:rPr>
        <w:t>+</w:t>
      </w:r>
      <w:r w:rsidRPr="00580014">
        <w:rPr>
          <w:rFonts w:ascii="Times New Roman" w:eastAsiaTheme="minorEastAsia" w:hAnsi="Times New Roman" w:cs="Times New Roman"/>
          <w:sz w:val="24"/>
          <w:szCs w:val="24"/>
        </w:rPr>
        <w:t xml:space="preserve">20%.  </w:t>
      </w:r>
      <w:r w:rsidR="00A5719E" w:rsidRPr="00580014">
        <w:rPr>
          <w:rFonts w:ascii="Times New Roman" w:eastAsiaTheme="minorEastAsia" w:hAnsi="Times New Roman" w:cs="Times New Roman"/>
          <w:sz w:val="24"/>
          <w:szCs w:val="24"/>
        </w:rPr>
        <w:t>This</w:t>
      </w:r>
      <w:r w:rsidR="006B3F47" w:rsidRPr="00580014">
        <w:rPr>
          <w:rFonts w:ascii="Times New Roman" w:eastAsiaTheme="minorEastAsia" w:hAnsi="Times New Roman" w:cs="Times New Roman"/>
          <w:sz w:val="24"/>
          <w:szCs w:val="24"/>
        </w:rPr>
        <w:t xml:space="preserve"> range of prices is conservative.  Munch (1976) found that eminent domain prices ranged from 28% below her estimate of market </w:t>
      </w:r>
      <w:r w:rsidR="00B125E1">
        <w:rPr>
          <w:rFonts w:ascii="Times New Roman" w:eastAsiaTheme="minorEastAsia" w:hAnsi="Times New Roman" w:cs="Times New Roman"/>
          <w:sz w:val="24"/>
          <w:szCs w:val="24"/>
        </w:rPr>
        <w:t>value</w:t>
      </w:r>
      <w:r w:rsidR="00B125E1" w:rsidRPr="00580014">
        <w:rPr>
          <w:rFonts w:ascii="Times New Roman" w:eastAsiaTheme="minorEastAsia" w:hAnsi="Times New Roman" w:cs="Times New Roman"/>
          <w:sz w:val="24"/>
          <w:szCs w:val="24"/>
        </w:rPr>
        <w:t xml:space="preserve"> </w:t>
      </w:r>
      <w:r w:rsidR="006B3F47" w:rsidRPr="00580014">
        <w:rPr>
          <w:rFonts w:ascii="Times New Roman" w:eastAsiaTheme="minorEastAsia" w:hAnsi="Times New Roman" w:cs="Times New Roman"/>
          <w:sz w:val="24"/>
          <w:szCs w:val="24"/>
        </w:rPr>
        <w:t xml:space="preserve">to more than 100% above it.  </w:t>
      </w:r>
      <w:r w:rsidRPr="00580014">
        <w:rPr>
          <w:rFonts w:ascii="Times New Roman" w:eastAsiaTheme="minorEastAsia" w:hAnsi="Times New Roman" w:cs="Times New Roman"/>
          <w:sz w:val="24"/>
          <w:szCs w:val="24"/>
        </w:rPr>
        <w:t xml:space="preserve">If the buyer won the contest the input sold for 40 points, if the seller won the price was 60 points, and if both spent nothing in the contest the price was 50 points.  </w:t>
      </w:r>
      <w:r w:rsidR="00C379F9" w:rsidRPr="00580014">
        <w:rPr>
          <w:rFonts w:ascii="Times New Roman" w:eastAsiaTheme="minorEastAsia" w:hAnsi="Times New Roman" w:cs="Times New Roman"/>
          <w:sz w:val="24"/>
          <w:szCs w:val="24"/>
        </w:rPr>
        <w:t xml:space="preserve">Consequently, </w:t>
      </w:r>
      <w:r w:rsidRPr="00580014">
        <w:rPr>
          <w:rFonts w:ascii="Times New Roman" w:eastAsiaTheme="minorEastAsia" w:hAnsi="Times New Roman" w:cs="Times New Roman"/>
          <w:sz w:val="24"/>
          <w:szCs w:val="24"/>
        </w:rPr>
        <w:t>the buyer and seller were competing for a prize worth 20 points</w:t>
      </w:r>
      <w:r w:rsidR="00063823" w:rsidRPr="00580014">
        <w:rPr>
          <w:rFonts w:ascii="Times New Roman" w:eastAsiaTheme="minorEastAsia" w:hAnsi="Times New Roman" w:cs="Times New Roman"/>
          <w:sz w:val="24"/>
          <w:szCs w:val="24"/>
        </w:rPr>
        <w:t xml:space="preserve"> and each should spend five points to win it.</w:t>
      </w:r>
      <w:r w:rsidR="006C30D4" w:rsidRPr="00580014">
        <w:rPr>
          <w:rFonts w:ascii="Times New Roman" w:eastAsiaTheme="minorEastAsia" w:hAnsi="Times New Roman" w:cs="Times New Roman"/>
          <w:sz w:val="24"/>
          <w:szCs w:val="24"/>
        </w:rPr>
        <w:t xml:space="preserve">  </w:t>
      </w:r>
    </w:p>
    <w:p w14:paraId="2E091954" w14:textId="77777777" w:rsidR="00B31E08" w:rsidRPr="00580014" w:rsidRDefault="008D574E">
      <w:pPr>
        <w:spacing w:line="480" w:lineRule="auto"/>
        <w:jc w:val="both"/>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ab/>
        <w:t xml:space="preserve">Based on the theoretical </w:t>
      </w:r>
      <w:r w:rsidR="00E101CA" w:rsidRPr="00580014">
        <w:rPr>
          <w:rFonts w:ascii="Times New Roman" w:eastAsiaTheme="minorEastAsia" w:hAnsi="Times New Roman" w:cs="Times New Roman"/>
          <w:sz w:val="24"/>
          <w:szCs w:val="24"/>
        </w:rPr>
        <w:t>model</w:t>
      </w:r>
      <w:r w:rsidRPr="00580014">
        <w:rPr>
          <w:rFonts w:ascii="Times New Roman" w:eastAsiaTheme="minorEastAsia" w:hAnsi="Times New Roman" w:cs="Times New Roman"/>
          <w:sz w:val="24"/>
          <w:szCs w:val="24"/>
        </w:rPr>
        <w:t xml:space="preserve"> in Section III and the parameters presented here we formulated a set of predictions, which are displayed in Table 3.  We use these predictions as our reference point in analyzing the results of the experiment.  </w:t>
      </w:r>
      <w:r w:rsidR="00063823" w:rsidRPr="00580014">
        <w:rPr>
          <w:rFonts w:ascii="Times New Roman" w:eastAsiaTheme="minorEastAsia" w:hAnsi="Times New Roman" w:cs="Times New Roman"/>
          <w:sz w:val="24"/>
          <w:szCs w:val="24"/>
        </w:rPr>
        <w:t>W</w:t>
      </w:r>
      <w:r w:rsidRPr="00580014">
        <w:rPr>
          <w:rFonts w:ascii="Times New Roman" w:eastAsiaTheme="minorEastAsia" w:hAnsi="Times New Roman" w:cs="Times New Roman"/>
          <w:sz w:val="24"/>
          <w:szCs w:val="24"/>
        </w:rPr>
        <w:t xml:space="preserve">e expect the buyer’s </w:t>
      </w:r>
      <w:r w:rsidR="00063823" w:rsidRPr="00580014">
        <w:rPr>
          <w:rFonts w:ascii="Times New Roman" w:eastAsiaTheme="minorEastAsia" w:hAnsi="Times New Roman" w:cs="Times New Roman"/>
          <w:sz w:val="24"/>
          <w:szCs w:val="24"/>
        </w:rPr>
        <w:t xml:space="preserve">average </w:t>
      </w:r>
      <w:r w:rsidRPr="00580014">
        <w:rPr>
          <w:rFonts w:ascii="Times New Roman" w:eastAsiaTheme="minorEastAsia" w:hAnsi="Times New Roman" w:cs="Times New Roman"/>
          <w:sz w:val="24"/>
          <w:szCs w:val="24"/>
        </w:rPr>
        <w:t xml:space="preserve">opening offer in the </w:t>
      </w:r>
      <w:r w:rsidRPr="00580014">
        <w:rPr>
          <w:rFonts w:ascii="Times New Roman" w:eastAsiaTheme="minorEastAsia" w:hAnsi="Times New Roman" w:cs="Times New Roman"/>
          <w:i/>
          <w:sz w:val="24"/>
          <w:szCs w:val="24"/>
        </w:rPr>
        <w:t>Baseline</w:t>
      </w:r>
      <w:r w:rsidRPr="00580014">
        <w:rPr>
          <w:rFonts w:ascii="Times New Roman" w:eastAsiaTheme="minorEastAsia" w:hAnsi="Times New Roman" w:cs="Times New Roman"/>
          <w:sz w:val="24"/>
          <w:szCs w:val="24"/>
        </w:rPr>
        <w:t xml:space="preserve"> treatment to be 75 points.  This is because the expected buyer value is 175 and the lower bound of the sellers’ value distribution is 50, implying an equilibrium offer of </w:t>
      </w:r>
      <m:oMath>
        <m:f>
          <m:fPr>
            <m:type m:val="lin"/>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175+50</m:t>
                </m:r>
              </m:e>
            </m:d>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=75</m:t>
        </m:r>
      </m:oMath>
      <w:r w:rsidRPr="00580014">
        <w:rPr>
          <w:rFonts w:ascii="Times New Roman" w:eastAsiaTheme="minorEastAsia" w:hAnsi="Times New Roman" w:cs="Times New Roman"/>
          <w:sz w:val="24"/>
          <w:szCs w:val="24"/>
        </w:rPr>
        <w:t xml:space="preserve">.  When there is an alternative seller the buyer’s expected profit of negotiating with the alternative seller is 11.25 points.  By equation (10) we subtract one third of this profit from the </w:t>
      </w:r>
      <w:r w:rsidRPr="00580014">
        <w:rPr>
          <w:rFonts w:ascii="Times New Roman" w:eastAsiaTheme="minorEastAsia" w:hAnsi="Times New Roman" w:cs="Times New Roman"/>
          <w:i/>
          <w:sz w:val="24"/>
          <w:szCs w:val="24"/>
        </w:rPr>
        <w:t>Baseline</w:t>
      </w:r>
      <w:r w:rsidRPr="00580014">
        <w:rPr>
          <w:rFonts w:ascii="Times New Roman" w:eastAsiaTheme="minorEastAsia" w:hAnsi="Times New Roman" w:cs="Times New Roman"/>
          <w:sz w:val="24"/>
          <w:szCs w:val="24"/>
        </w:rPr>
        <w:t xml:space="preserve"> equilibrium offer.  Because offers </w:t>
      </w:r>
      <w:r w:rsidR="00063823" w:rsidRPr="00580014">
        <w:rPr>
          <w:rFonts w:ascii="Times New Roman" w:eastAsiaTheme="minorEastAsia" w:hAnsi="Times New Roman" w:cs="Times New Roman"/>
          <w:sz w:val="24"/>
          <w:szCs w:val="24"/>
        </w:rPr>
        <w:t>had to be</w:t>
      </w:r>
      <w:r w:rsidRPr="00580014">
        <w:rPr>
          <w:rFonts w:ascii="Times New Roman" w:eastAsiaTheme="minorEastAsia" w:hAnsi="Times New Roman" w:cs="Times New Roman"/>
          <w:sz w:val="24"/>
          <w:szCs w:val="24"/>
        </w:rPr>
        <w:t xml:space="preserve"> whole numbers</w:t>
      </w:r>
      <w:r w:rsidR="00063823" w:rsidRPr="00580014">
        <w:rPr>
          <w:rFonts w:ascii="Times New Roman" w:eastAsiaTheme="minorEastAsia" w:hAnsi="Times New Roman" w:cs="Times New Roman"/>
          <w:sz w:val="24"/>
          <w:szCs w:val="24"/>
        </w:rPr>
        <w:t xml:space="preserve"> in our experiments</w:t>
      </w:r>
      <w:r w:rsidRPr="00580014">
        <w:rPr>
          <w:rFonts w:ascii="Times New Roman" w:eastAsiaTheme="minorEastAsia" w:hAnsi="Times New Roman" w:cs="Times New Roman"/>
          <w:sz w:val="24"/>
          <w:szCs w:val="24"/>
        </w:rPr>
        <w:t xml:space="preserve"> we expect the average opening offer in the </w:t>
      </w:r>
      <w:r w:rsidRPr="00580014">
        <w:rPr>
          <w:rFonts w:ascii="Times New Roman" w:eastAsiaTheme="minorEastAsia" w:hAnsi="Times New Roman" w:cs="Times New Roman"/>
          <w:i/>
          <w:sz w:val="24"/>
          <w:szCs w:val="24"/>
        </w:rPr>
        <w:t>Competition</w:t>
      </w:r>
      <w:r w:rsidRPr="00580014">
        <w:rPr>
          <w:rFonts w:ascii="Times New Roman" w:eastAsiaTheme="minorEastAsia" w:hAnsi="Times New Roman" w:cs="Times New Roman"/>
          <w:sz w:val="24"/>
          <w:szCs w:val="24"/>
        </w:rPr>
        <w:t xml:space="preserve"> treatment to be 71.</w:t>
      </w:r>
    </w:p>
    <w:p w14:paraId="2E1D89C7" w14:textId="77777777" w:rsidR="001072BC" w:rsidRPr="00580014" w:rsidRDefault="001072BC" w:rsidP="001072BC">
      <w:pPr>
        <w:spacing w:line="480" w:lineRule="auto"/>
        <w:jc w:val="center"/>
        <w:rPr>
          <w:rFonts w:ascii="Times New Roman" w:eastAsiaTheme="minorEastAsia" w:hAnsi="Times New Roman" w:cs="Times New Roman"/>
          <w:b/>
          <w:sz w:val="24"/>
          <w:szCs w:val="24"/>
        </w:rPr>
      </w:pPr>
      <w:r w:rsidRPr="00580014">
        <w:rPr>
          <w:rFonts w:ascii="Times New Roman" w:eastAsiaTheme="minorEastAsia" w:hAnsi="Times New Roman" w:cs="Times New Roman"/>
          <w:b/>
          <w:sz w:val="24"/>
          <w:szCs w:val="24"/>
        </w:rPr>
        <w:t>[Table 3 Here]</w:t>
      </w:r>
    </w:p>
    <w:p w14:paraId="3E3B5E1A" w14:textId="6EBEB053" w:rsidR="00B31E08" w:rsidRPr="00580014" w:rsidRDefault="008D574E">
      <w:pPr>
        <w:spacing w:line="480" w:lineRule="auto"/>
        <w:jc w:val="both"/>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ab/>
        <w:t xml:space="preserve">In the </w:t>
      </w:r>
      <w:r w:rsidRPr="00580014">
        <w:rPr>
          <w:rFonts w:ascii="Times New Roman" w:eastAsiaTheme="minorEastAsia" w:hAnsi="Times New Roman" w:cs="Times New Roman"/>
          <w:i/>
          <w:sz w:val="24"/>
          <w:szCs w:val="24"/>
        </w:rPr>
        <w:t>Eminent Domain</w:t>
      </w:r>
      <w:r w:rsidRPr="00580014">
        <w:rPr>
          <w:rFonts w:ascii="Times New Roman" w:eastAsiaTheme="minorEastAsia" w:hAnsi="Times New Roman" w:cs="Times New Roman"/>
          <w:sz w:val="24"/>
          <w:szCs w:val="24"/>
        </w:rPr>
        <w:t xml:space="preserve"> treatment</w:t>
      </w:r>
      <w:r w:rsidR="00063823" w:rsidRPr="00580014">
        <w:rPr>
          <w:rFonts w:ascii="Times New Roman" w:eastAsiaTheme="minorEastAsia" w:hAnsi="Times New Roman" w:cs="Times New Roman"/>
          <w:sz w:val="24"/>
          <w:szCs w:val="24"/>
        </w:rPr>
        <w:t xml:space="preserve"> we expect the buyer to offer the expected fair market price (50 points) minus the seller’s contest cost (five points).</w:t>
      </w:r>
      <w:r w:rsidRPr="00580014">
        <w:rPr>
          <w:rFonts w:ascii="Times New Roman" w:eastAsiaTheme="minorEastAsia" w:hAnsi="Times New Roman" w:cs="Times New Roman"/>
          <w:sz w:val="24"/>
          <w:szCs w:val="24"/>
        </w:rPr>
        <w:t xml:space="preserve">  This yields an equilibrium offer of 45.  </w:t>
      </w:r>
      <w:r w:rsidR="00063823" w:rsidRPr="00580014">
        <w:rPr>
          <w:rFonts w:ascii="Times New Roman" w:eastAsiaTheme="minorEastAsia" w:hAnsi="Times New Roman" w:cs="Times New Roman"/>
          <w:sz w:val="24"/>
          <w:szCs w:val="24"/>
        </w:rPr>
        <w:t>S</w:t>
      </w:r>
      <w:r w:rsidRPr="00580014">
        <w:rPr>
          <w:rFonts w:ascii="Times New Roman" w:eastAsiaTheme="minorEastAsia" w:hAnsi="Times New Roman" w:cs="Times New Roman"/>
          <w:sz w:val="24"/>
          <w:szCs w:val="24"/>
        </w:rPr>
        <w:t xml:space="preserve">ellers </w:t>
      </w:r>
      <w:r w:rsidR="00063823" w:rsidRPr="00580014">
        <w:rPr>
          <w:rFonts w:ascii="Times New Roman" w:eastAsiaTheme="minorEastAsia" w:hAnsi="Times New Roman" w:cs="Times New Roman"/>
          <w:sz w:val="24"/>
          <w:szCs w:val="24"/>
        </w:rPr>
        <w:t xml:space="preserve">should </w:t>
      </w:r>
      <w:r w:rsidRPr="00580014">
        <w:rPr>
          <w:rFonts w:ascii="Times New Roman" w:eastAsiaTheme="minorEastAsia" w:hAnsi="Times New Roman" w:cs="Times New Roman"/>
          <w:sz w:val="24"/>
          <w:szCs w:val="24"/>
        </w:rPr>
        <w:t xml:space="preserve">accept </w:t>
      </w:r>
      <w:r w:rsidR="00265E76" w:rsidRPr="00580014">
        <w:rPr>
          <w:rFonts w:ascii="Times New Roman" w:eastAsiaTheme="minorEastAsia" w:hAnsi="Times New Roman" w:cs="Times New Roman"/>
          <w:sz w:val="24"/>
          <w:szCs w:val="24"/>
        </w:rPr>
        <w:t xml:space="preserve">these </w:t>
      </w:r>
      <w:r w:rsidRPr="00580014">
        <w:rPr>
          <w:rFonts w:ascii="Times New Roman" w:eastAsiaTheme="minorEastAsia" w:hAnsi="Times New Roman" w:cs="Times New Roman"/>
          <w:sz w:val="24"/>
          <w:szCs w:val="24"/>
        </w:rPr>
        <w:t>offers, so that the rate of forced sales should be 0%.</w:t>
      </w:r>
      <w:r w:rsidR="00CD1D09" w:rsidRPr="00580014">
        <w:rPr>
          <w:rFonts w:ascii="Times New Roman" w:eastAsiaTheme="minorEastAsia" w:hAnsi="Times New Roman" w:cs="Times New Roman"/>
          <w:sz w:val="24"/>
          <w:szCs w:val="24"/>
        </w:rPr>
        <w:t xml:space="preserve">  Moreover, in the </w:t>
      </w:r>
      <w:r w:rsidR="00CD1D09" w:rsidRPr="00580014">
        <w:rPr>
          <w:rFonts w:ascii="Times New Roman" w:eastAsiaTheme="minorEastAsia" w:hAnsi="Times New Roman" w:cs="Times New Roman"/>
          <w:i/>
          <w:sz w:val="24"/>
          <w:szCs w:val="24"/>
        </w:rPr>
        <w:t>Eminent Domain</w:t>
      </w:r>
      <w:r w:rsidR="00CD1D09" w:rsidRPr="00580014">
        <w:rPr>
          <w:rFonts w:ascii="Times New Roman" w:eastAsiaTheme="minorEastAsia" w:hAnsi="Times New Roman" w:cs="Times New Roman"/>
          <w:sz w:val="24"/>
          <w:szCs w:val="24"/>
        </w:rPr>
        <w:t xml:space="preserve"> treatment</w:t>
      </w:r>
      <w:r w:rsidRPr="00580014">
        <w:rPr>
          <w:rFonts w:ascii="Times New Roman" w:eastAsiaTheme="minorEastAsia" w:hAnsi="Times New Roman" w:cs="Times New Roman"/>
          <w:sz w:val="24"/>
          <w:szCs w:val="24"/>
        </w:rPr>
        <w:t xml:space="preserve"> we expect the buyer</w:t>
      </w:r>
      <w:r w:rsidR="00214D1F" w:rsidRPr="00580014">
        <w:rPr>
          <w:rFonts w:ascii="Times New Roman" w:eastAsiaTheme="minorEastAsia" w:hAnsi="Times New Roman" w:cs="Times New Roman"/>
          <w:sz w:val="24"/>
          <w:szCs w:val="24"/>
        </w:rPr>
        <w:t>s</w:t>
      </w:r>
      <w:r w:rsidRPr="00580014">
        <w:rPr>
          <w:rFonts w:ascii="Times New Roman" w:eastAsiaTheme="minorEastAsia" w:hAnsi="Times New Roman" w:cs="Times New Roman"/>
          <w:sz w:val="24"/>
          <w:szCs w:val="24"/>
        </w:rPr>
        <w:t xml:space="preserve"> to successfully assemble the inputs in every negotiation.  This means that the buyers should achieve assembly in 100% of negotiations in which </w:t>
      </w:r>
      <w:r w:rsidR="00727098" w:rsidRPr="00580014">
        <w:rPr>
          <w:rFonts w:ascii="Times New Roman" w:eastAsiaTheme="minorEastAsia" w:hAnsi="Times New Roman" w:cs="Times New Roman"/>
          <w:sz w:val="24"/>
          <w:szCs w:val="24"/>
        </w:rPr>
        <w:t>it is efficient</w:t>
      </w:r>
      <w:r w:rsidRPr="00580014">
        <w:rPr>
          <w:rFonts w:ascii="Times New Roman" w:eastAsiaTheme="minorEastAsia" w:hAnsi="Times New Roman" w:cs="Times New Roman"/>
          <w:sz w:val="24"/>
          <w:szCs w:val="24"/>
        </w:rPr>
        <w:t xml:space="preserve">.  However, we </w:t>
      </w:r>
      <w:r w:rsidR="00727098" w:rsidRPr="00580014">
        <w:rPr>
          <w:rFonts w:ascii="Times New Roman" w:eastAsiaTheme="minorEastAsia" w:hAnsi="Times New Roman" w:cs="Times New Roman"/>
          <w:sz w:val="24"/>
          <w:szCs w:val="24"/>
        </w:rPr>
        <w:t xml:space="preserve">also </w:t>
      </w:r>
      <w:r w:rsidRPr="00580014">
        <w:rPr>
          <w:rFonts w:ascii="Times New Roman" w:eastAsiaTheme="minorEastAsia" w:hAnsi="Times New Roman" w:cs="Times New Roman"/>
          <w:sz w:val="24"/>
          <w:szCs w:val="24"/>
        </w:rPr>
        <w:t xml:space="preserve">expect the buyers </w:t>
      </w:r>
      <w:r w:rsidR="00D57984" w:rsidRPr="00580014">
        <w:rPr>
          <w:rFonts w:ascii="Times New Roman" w:eastAsiaTheme="minorEastAsia" w:hAnsi="Times New Roman" w:cs="Times New Roman"/>
          <w:sz w:val="24"/>
          <w:szCs w:val="24"/>
        </w:rPr>
        <w:t xml:space="preserve">never to </w:t>
      </w:r>
      <w:r w:rsidRPr="00580014">
        <w:rPr>
          <w:rFonts w:ascii="Times New Roman" w:eastAsiaTheme="minorEastAsia" w:hAnsi="Times New Roman" w:cs="Times New Roman"/>
          <w:sz w:val="24"/>
          <w:szCs w:val="24"/>
        </w:rPr>
        <w:t xml:space="preserve">leave the inputs in the sellers’ possession when fragmented ownership is efficient.  We </w:t>
      </w:r>
      <w:r w:rsidR="00214D1F" w:rsidRPr="00580014">
        <w:rPr>
          <w:rFonts w:ascii="Times New Roman" w:eastAsiaTheme="minorEastAsia" w:hAnsi="Times New Roman" w:cs="Times New Roman"/>
          <w:sz w:val="24"/>
          <w:szCs w:val="24"/>
        </w:rPr>
        <w:t xml:space="preserve">predict </w:t>
      </w:r>
      <w:r w:rsidRPr="00580014">
        <w:rPr>
          <w:rFonts w:ascii="Times New Roman" w:eastAsiaTheme="minorEastAsia" w:hAnsi="Times New Roman" w:cs="Times New Roman"/>
          <w:sz w:val="24"/>
          <w:szCs w:val="24"/>
        </w:rPr>
        <w:t xml:space="preserve">no delay in </w:t>
      </w:r>
      <w:r w:rsidR="007A0427">
        <w:rPr>
          <w:rFonts w:ascii="Times New Roman" w:eastAsiaTheme="minorEastAsia" w:hAnsi="Times New Roman" w:cs="Times New Roman"/>
          <w:sz w:val="24"/>
          <w:szCs w:val="24"/>
        </w:rPr>
        <w:t>the</w:t>
      </w:r>
      <w:r w:rsidR="007A0427" w:rsidRPr="00580014">
        <w:rPr>
          <w:rFonts w:ascii="Times New Roman" w:eastAsiaTheme="minorEastAsia" w:hAnsi="Times New Roman" w:cs="Times New Roman"/>
          <w:sz w:val="24"/>
          <w:szCs w:val="24"/>
        </w:rPr>
        <w:t xml:space="preserve"> </w:t>
      </w:r>
      <w:r w:rsidRPr="00580014">
        <w:rPr>
          <w:rFonts w:ascii="Times New Roman" w:eastAsiaTheme="minorEastAsia" w:hAnsi="Times New Roman" w:cs="Times New Roman"/>
          <w:i/>
          <w:sz w:val="24"/>
          <w:szCs w:val="24"/>
        </w:rPr>
        <w:t>Eminent Domain</w:t>
      </w:r>
      <w:r w:rsidRPr="00580014">
        <w:rPr>
          <w:rFonts w:ascii="Times New Roman" w:eastAsiaTheme="minorEastAsia" w:hAnsi="Times New Roman" w:cs="Times New Roman"/>
          <w:sz w:val="24"/>
          <w:szCs w:val="24"/>
        </w:rPr>
        <w:t xml:space="preserve"> treatment because the buyer</w:t>
      </w:r>
      <w:r w:rsidR="001D7EE9" w:rsidRPr="00580014">
        <w:rPr>
          <w:rFonts w:ascii="Times New Roman" w:eastAsiaTheme="minorEastAsia" w:hAnsi="Times New Roman" w:cs="Times New Roman"/>
          <w:sz w:val="24"/>
          <w:szCs w:val="24"/>
        </w:rPr>
        <w:t>s</w:t>
      </w:r>
      <w:r w:rsidRPr="00580014">
        <w:rPr>
          <w:rFonts w:ascii="Times New Roman" w:eastAsiaTheme="minorEastAsia" w:hAnsi="Times New Roman" w:cs="Times New Roman"/>
          <w:sz w:val="24"/>
          <w:szCs w:val="24"/>
        </w:rPr>
        <w:t xml:space="preserve"> should be capable of assembling the inputs in the first period.</w:t>
      </w:r>
    </w:p>
    <w:p w14:paraId="0695D7E0" w14:textId="77777777" w:rsidR="00B31E08" w:rsidRPr="00580014" w:rsidRDefault="008D574E">
      <w:pPr>
        <w:spacing w:line="480" w:lineRule="auto"/>
        <w:jc w:val="both"/>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ab/>
        <w:t xml:space="preserve">For the </w:t>
      </w:r>
      <w:r w:rsidRPr="00580014">
        <w:rPr>
          <w:rFonts w:ascii="Times New Roman" w:eastAsiaTheme="minorEastAsia" w:hAnsi="Times New Roman" w:cs="Times New Roman"/>
          <w:i/>
          <w:sz w:val="24"/>
          <w:szCs w:val="24"/>
        </w:rPr>
        <w:t>Baseline</w:t>
      </w:r>
      <w:r w:rsidRPr="00580014">
        <w:rPr>
          <w:rFonts w:ascii="Times New Roman" w:eastAsiaTheme="minorEastAsia" w:hAnsi="Times New Roman" w:cs="Times New Roman"/>
          <w:sz w:val="24"/>
          <w:szCs w:val="24"/>
        </w:rPr>
        <w:t xml:space="preserve"> and </w:t>
      </w:r>
      <w:r w:rsidRPr="00580014">
        <w:rPr>
          <w:rFonts w:ascii="Times New Roman" w:eastAsiaTheme="minorEastAsia" w:hAnsi="Times New Roman" w:cs="Times New Roman"/>
          <w:i/>
          <w:sz w:val="24"/>
          <w:szCs w:val="24"/>
        </w:rPr>
        <w:t>Competition</w:t>
      </w:r>
      <w:r w:rsidRPr="00580014">
        <w:rPr>
          <w:rFonts w:ascii="Times New Roman" w:eastAsiaTheme="minorEastAsia" w:hAnsi="Times New Roman" w:cs="Times New Roman"/>
          <w:sz w:val="24"/>
          <w:szCs w:val="24"/>
        </w:rPr>
        <w:t xml:space="preserve"> treatments </w:t>
      </w:r>
      <w:r w:rsidR="00C61F04" w:rsidRPr="00580014">
        <w:rPr>
          <w:rFonts w:ascii="Times New Roman" w:eastAsiaTheme="minorEastAsia" w:hAnsi="Times New Roman" w:cs="Times New Roman"/>
          <w:sz w:val="24"/>
          <w:szCs w:val="24"/>
        </w:rPr>
        <w:t xml:space="preserve">predicting </w:t>
      </w:r>
      <w:r w:rsidRPr="00580014">
        <w:rPr>
          <w:rFonts w:ascii="Times New Roman" w:eastAsiaTheme="minorEastAsia" w:hAnsi="Times New Roman" w:cs="Times New Roman"/>
          <w:sz w:val="24"/>
          <w:szCs w:val="24"/>
        </w:rPr>
        <w:t xml:space="preserve">assembly and delay </w:t>
      </w:r>
      <w:r w:rsidR="00C61F04" w:rsidRPr="00580014">
        <w:rPr>
          <w:rFonts w:ascii="Times New Roman" w:eastAsiaTheme="minorEastAsia" w:hAnsi="Times New Roman" w:cs="Times New Roman"/>
          <w:sz w:val="24"/>
          <w:szCs w:val="24"/>
        </w:rPr>
        <w:t>depend on seller holdout, for which we have no formal model</w:t>
      </w:r>
      <w:r w:rsidRPr="00580014">
        <w:rPr>
          <w:rFonts w:ascii="Times New Roman" w:eastAsiaTheme="minorEastAsia" w:hAnsi="Times New Roman" w:cs="Times New Roman"/>
          <w:sz w:val="24"/>
          <w:szCs w:val="24"/>
        </w:rPr>
        <w:t>.  We formulated our predictions by simulating 10,000 negotiations of each treatment</w:t>
      </w:r>
      <w:r w:rsidR="00C61F04" w:rsidRPr="00580014">
        <w:rPr>
          <w:rFonts w:ascii="Times New Roman" w:eastAsiaTheme="minorEastAsia" w:hAnsi="Times New Roman" w:cs="Times New Roman"/>
          <w:sz w:val="24"/>
          <w:szCs w:val="24"/>
        </w:rPr>
        <w:t xml:space="preserve"> with the simplifying assumption that sellers do not strategically reject their offers and this is known to the buyers</w:t>
      </w:r>
      <w:r w:rsidRPr="00580014">
        <w:rPr>
          <w:rFonts w:ascii="Times New Roman" w:eastAsiaTheme="minorEastAsia" w:hAnsi="Times New Roman" w:cs="Times New Roman"/>
          <w:sz w:val="24"/>
          <w:szCs w:val="24"/>
        </w:rPr>
        <w:t xml:space="preserve">.  </w:t>
      </w:r>
      <w:r w:rsidR="00C61F04" w:rsidRPr="00580014">
        <w:rPr>
          <w:rFonts w:ascii="Times New Roman" w:eastAsiaTheme="minorEastAsia" w:hAnsi="Times New Roman" w:cs="Times New Roman"/>
          <w:sz w:val="24"/>
          <w:szCs w:val="24"/>
        </w:rPr>
        <w:t xml:space="preserve">This provides a best-case benchmark against which to compare actual outcomes in the </w:t>
      </w:r>
      <w:r w:rsidR="00C61F04" w:rsidRPr="00580014">
        <w:rPr>
          <w:rFonts w:ascii="Times New Roman" w:eastAsiaTheme="minorEastAsia" w:hAnsi="Times New Roman" w:cs="Times New Roman"/>
          <w:i/>
          <w:sz w:val="24"/>
          <w:szCs w:val="24"/>
        </w:rPr>
        <w:t>Baseline</w:t>
      </w:r>
      <w:r w:rsidR="00C61F04" w:rsidRPr="00580014">
        <w:rPr>
          <w:rFonts w:ascii="Times New Roman" w:eastAsiaTheme="minorEastAsia" w:hAnsi="Times New Roman" w:cs="Times New Roman"/>
          <w:sz w:val="24"/>
          <w:szCs w:val="24"/>
        </w:rPr>
        <w:t xml:space="preserve"> and </w:t>
      </w:r>
      <w:r w:rsidR="00C61F04" w:rsidRPr="00580014">
        <w:rPr>
          <w:rFonts w:ascii="Times New Roman" w:eastAsiaTheme="minorEastAsia" w:hAnsi="Times New Roman" w:cs="Times New Roman"/>
          <w:i/>
          <w:sz w:val="24"/>
          <w:szCs w:val="24"/>
        </w:rPr>
        <w:t xml:space="preserve">Competition </w:t>
      </w:r>
      <w:r w:rsidR="006D2A69" w:rsidRPr="00580014">
        <w:rPr>
          <w:rFonts w:ascii="Times New Roman" w:eastAsiaTheme="minorEastAsia" w:hAnsi="Times New Roman" w:cs="Times New Roman"/>
          <w:sz w:val="24"/>
          <w:szCs w:val="24"/>
        </w:rPr>
        <w:t>treatments.</w:t>
      </w:r>
      <w:r w:rsidR="00C61F04" w:rsidRPr="00580014">
        <w:rPr>
          <w:rFonts w:ascii="Times New Roman" w:eastAsiaTheme="minorEastAsia" w:hAnsi="Times New Roman" w:cs="Times New Roman"/>
          <w:i/>
          <w:sz w:val="24"/>
          <w:szCs w:val="24"/>
        </w:rPr>
        <w:t xml:space="preserve"> </w:t>
      </w:r>
      <w:r w:rsidR="00C61F04" w:rsidRPr="00580014">
        <w:rPr>
          <w:rFonts w:ascii="Times New Roman" w:eastAsiaTheme="minorEastAsia" w:hAnsi="Times New Roman" w:cs="Times New Roman"/>
          <w:sz w:val="24"/>
          <w:szCs w:val="24"/>
        </w:rPr>
        <w:t xml:space="preserve"> </w:t>
      </w:r>
      <w:r w:rsidRPr="00580014">
        <w:rPr>
          <w:rFonts w:ascii="Times New Roman" w:eastAsiaTheme="minorEastAsia" w:hAnsi="Times New Roman" w:cs="Times New Roman"/>
          <w:sz w:val="24"/>
          <w:szCs w:val="24"/>
        </w:rPr>
        <w:t xml:space="preserve">In the </w:t>
      </w:r>
      <w:r w:rsidRPr="00580014">
        <w:rPr>
          <w:rFonts w:ascii="Times New Roman" w:eastAsiaTheme="minorEastAsia" w:hAnsi="Times New Roman" w:cs="Times New Roman"/>
          <w:i/>
          <w:sz w:val="24"/>
          <w:szCs w:val="24"/>
        </w:rPr>
        <w:t>Baseline</w:t>
      </w:r>
      <w:r w:rsidRPr="00580014">
        <w:rPr>
          <w:rFonts w:ascii="Times New Roman" w:eastAsiaTheme="minorEastAsia" w:hAnsi="Times New Roman" w:cs="Times New Roman"/>
          <w:sz w:val="24"/>
          <w:szCs w:val="24"/>
        </w:rPr>
        <w:t xml:space="preserve"> simulations the buyers bought both inputs in 89% of the cases where assembly was efficient while sellers retained possession in 100% of the cases where fragmentation was efficient.  For calculating delay we coded a negotiation where sellers retained possession of their inputs as lasting six periods.  Negotiations in the </w:t>
      </w:r>
      <w:r w:rsidRPr="00580014">
        <w:rPr>
          <w:rFonts w:ascii="Times New Roman" w:eastAsiaTheme="minorEastAsia" w:hAnsi="Times New Roman" w:cs="Times New Roman"/>
          <w:i/>
          <w:sz w:val="24"/>
          <w:szCs w:val="24"/>
        </w:rPr>
        <w:t>Baseline</w:t>
      </w:r>
      <w:r w:rsidRPr="00580014">
        <w:rPr>
          <w:rFonts w:ascii="Times New Roman" w:eastAsiaTheme="minorEastAsia" w:hAnsi="Times New Roman" w:cs="Times New Roman"/>
          <w:sz w:val="24"/>
          <w:szCs w:val="24"/>
        </w:rPr>
        <w:t xml:space="preserve"> simulations lasted an average of 3.4 periods</w:t>
      </w:r>
      <w:r w:rsidR="00E5713B" w:rsidRPr="00580014">
        <w:rPr>
          <w:rFonts w:ascii="Times New Roman" w:eastAsiaTheme="minorEastAsia" w:hAnsi="Times New Roman" w:cs="Times New Roman"/>
          <w:sz w:val="24"/>
          <w:szCs w:val="24"/>
        </w:rPr>
        <w:t xml:space="preserve"> for all negotiations and 2.1 periods for</w:t>
      </w:r>
      <w:r w:rsidRPr="00580014">
        <w:rPr>
          <w:rFonts w:ascii="Times New Roman" w:eastAsiaTheme="minorEastAsia" w:hAnsi="Times New Roman" w:cs="Times New Roman"/>
          <w:sz w:val="24"/>
          <w:szCs w:val="24"/>
        </w:rPr>
        <w:t xml:space="preserve"> negotiations where assembly </w:t>
      </w:r>
      <w:r w:rsidR="006C74CC" w:rsidRPr="00580014">
        <w:rPr>
          <w:rFonts w:ascii="Times New Roman" w:eastAsiaTheme="minorEastAsia" w:hAnsi="Times New Roman" w:cs="Times New Roman"/>
          <w:sz w:val="24"/>
          <w:szCs w:val="24"/>
        </w:rPr>
        <w:t>would be</w:t>
      </w:r>
      <w:r w:rsidRPr="00580014">
        <w:rPr>
          <w:rFonts w:ascii="Times New Roman" w:eastAsiaTheme="minorEastAsia" w:hAnsi="Times New Roman" w:cs="Times New Roman"/>
          <w:sz w:val="24"/>
          <w:szCs w:val="24"/>
        </w:rPr>
        <w:t xml:space="preserve"> efficient.</w:t>
      </w:r>
    </w:p>
    <w:p w14:paraId="3D876A57" w14:textId="77777777" w:rsidR="00B31E08" w:rsidRPr="00580014" w:rsidRDefault="008D574E">
      <w:pPr>
        <w:spacing w:line="480" w:lineRule="auto"/>
        <w:jc w:val="both"/>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ab/>
        <w:t xml:space="preserve">In the </w:t>
      </w:r>
      <w:r w:rsidR="001C56C7" w:rsidRPr="00580014">
        <w:rPr>
          <w:rFonts w:ascii="Times New Roman" w:eastAsiaTheme="minorEastAsia" w:hAnsi="Times New Roman" w:cs="Times New Roman"/>
          <w:i/>
          <w:sz w:val="24"/>
          <w:szCs w:val="24"/>
        </w:rPr>
        <w:t>Competition</w:t>
      </w:r>
      <w:r w:rsidRPr="00580014">
        <w:rPr>
          <w:rFonts w:ascii="Times New Roman" w:eastAsiaTheme="minorEastAsia" w:hAnsi="Times New Roman" w:cs="Times New Roman"/>
          <w:sz w:val="24"/>
          <w:szCs w:val="24"/>
        </w:rPr>
        <w:t xml:space="preserve"> simulations the buyers only achieved efficient assembly in 60% of negotiations, but this is because they sometimes successfully negotiated with </w:t>
      </w:r>
      <w:r w:rsidR="000C7C0C" w:rsidRPr="00580014">
        <w:rPr>
          <w:rFonts w:ascii="Times New Roman" w:eastAsiaTheme="minorEastAsia" w:hAnsi="Times New Roman" w:cs="Times New Roman"/>
          <w:sz w:val="24"/>
          <w:szCs w:val="24"/>
        </w:rPr>
        <w:t xml:space="preserve">the </w:t>
      </w:r>
      <w:r w:rsidRPr="00580014">
        <w:rPr>
          <w:rFonts w:ascii="Times New Roman" w:eastAsiaTheme="minorEastAsia" w:hAnsi="Times New Roman" w:cs="Times New Roman"/>
          <w:sz w:val="24"/>
          <w:szCs w:val="24"/>
        </w:rPr>
        <w:t xml:space="preserve">alternative seller when there was more available surplus with the primary sellers, or vice versa.  If we consider how often </w:t>
      </w:r>
      <w:r w:rsidR="000D7BE1" w:rsidRPr="00580014">
        <w:rPr>
          <w:rFonts w:ascii="Times New Roman" w:eastAsiaTheme="minorEastAsia" w:hAnsi="Times New Roman" w:cs="Times New Roman"/>
          <w:sz w:val="24"/>
          <w:szCs w:val="24"/>
        </w:rPr>
        <w:t>the buyers</w:t>
      </w:r>
      <w:r w:rsidRPr="00580014">
        <w:rPr>
          <w:rFonts w:ascii="Times New Roman" w:eastAsiaTheme="minorEastAsia" w:hAnsi="Times New Roman" w:cs="Times New Roman"/>
          <w:sz w:val="24"/>
          <w:szCs w:val="24"/>
        </w:rPr>
        <w:t xml:space="preserve"> </w:t>
      </w:r>
      <w:r w:rsidR="00077C4A" w:rsidRPr="00580014">
        <w:rPr>
          <w:rFonts w:ascii="Times New Roman" w:eastAsiaTheme="minorEastAsia" w:hAnsi="Times New Roman" w:cs="Times New Roman"/>
          <w:sz w:val="24"/>
          <w:szCs w:val="24"/>
        </w:rPr>
        <w:t>made</w:t>
      </w:r>
      <w:r w:rsidRPr="00580014">
        <w:rPr>
          <w:rFonts w:ascii="Times New Roman" w:eastAsiaTheme="minorEastAsia" w:hAnsi="Times New Roman" w:cs="Times New Roman"/>
          <w:sz w:val="24"/>
          <w:szCs w:val="24"/>
        </w:rPr>
        <w:t xml:space="preserve"> </w:t>
      </w:r>
      <w:r w:rsidR="00077C4A" w:rsidRPr="00580014">
        <w:rPr>
          <w:rFonts w:ascii="Times New Roman" w:eastAsiaTheme="minorEastAsia" w:hAnsi="Times New Roman" w:cs="Times New Roman"/>
          <w:sz w:val="24"/>
          <w:szCs w:val="24"/>
        </w:rPr>
        <w:t xml:space="preserve">a </w:t>
      </w:r>
      <w:r w:rsidRPr="00580014">
        <w:rPr>
          <w:rFonts w:ascii="Times New Roman" w:eastAsiaTheme="minorEastAsia" w:hAnsi="Times New Roman" w:cs="Times New Roman"/>
          <w:sz w:val="24"/>
          <w:szCs w:val="24"/>
        </w:rPr>
        <w:t xml:space="preserve">purchase </w:t>
      </w:r>
      <w:r w:rsidR="00077C4A" w:rsidRPr="00580014">
        <w:rPr>
          <w:rFonts w:ascii="Times New Roman" w:eastAsiaTheme="minorEastAsia" w:hAnsi="Times New Roman" w:cs="Times New Roman"/>
          <w:sz w:val="24"/>
          <w:szCs w:val="24"/>
        </w:rPr>
        <w:t xml:space="preserve">with positive surplus </w:t>
      </w:r>
      <w:r w:rsidRPr="00580014">
        <w:rPr>
          <w:rFonts w:ascii="Times New Roman" w:eastAsiaTheme="minorEastAsia" w:hAnsi="Times New Roman" w:cs="Times New Roman"/>
          <w:sz w:val="24"/>
          <w:szCs w:val="24"/>
        </w:rPr>
        <w:t xml:space="preserve">the rate increases to 92%.  </w:t>
      </w:r>
      <w:r w:rsidR="00077C4A" w:rsidRPr="00580014">
        <w:rPr>
          <w:rFonts w:ascii="Times New Roman" w:eastAsiaTheme="minorEastAsia" w:hAnsi="Times New Roman" w:cs="Times New Roman"/>
          <w:sz w:val="24"/>
          <w:szCs w:val="24"/>
        </w:rPr>
        <w:t>T</w:t>
      </w:r>
      <w:r w:rsidRPr="00580014">
        <w:rPr>
          <w:rFonts w:ascii="Times New Roman" w:eastAsiaTheme="minorEastAsia" w:hAnsi="Times New Roman" w:cs="Times New Roman"/>
          <w:sz w:val="24"/>
          <w:szCs w:val="24"/>
        </w:rPr>
        <w:t xml:space="preserve">he sellers retained possession in 100% of cases where fragmented ownership was efficient.  Across all negotiations it took an average of 2.7 periods to reach an agreement.  In those negotiations where assembly was efficient negotiation took </w:t>
      </w:r>
      <w:r w:rsidR="00EB3915" w:rsidRPr="00580014">
        <w:rPr>
          <w:rFonts w:ascii="Times New Roman" w:eastAsiaTheme="minorEastAsia" w:hAnsi="Times New Roman" w:cs="Times New Roman"/>
          <w:sz w:val="24"/>
          <w:szCs w:val="24"/>
        </w:rPr>
        <w:t>an average of only 1.7 periods.</w:t>
      </w:r>
    </w:p>
    <w:p w14:paraId="0F076DC4" w14:textId="77777777" w:rsidR="008D574E" w:rsidRPr="00580014" w:rsidRDefault="008D574E" w:rsidP="008D574E">
      <w:pPr>
        <w:spacing w:line="480" w:lineRule="auto"/>
        <w:rPr>
          <w:rFonts w:ascii="Times New Roman" w:eastAsiaTheme="minorEastAsia" w:hAnsi="Times New Roman" w:cs="Times New Roman"/>
          <w:b/>
          <w:sz w:val="24"/>
          <w:szCs w:val="24"/>
        </w:rPr>
      </w:pPr>
      <w:r w:rsidRPr="00580014">
        <w:rPr>
          <w:rFonts w:ascii="Times New Roman" w:eastAsiaTheme="minorEastAsia" w:hAnsi="Times New Roman" w:cs="Times New Roman"/>
          <w:b/>
          <w:sz w:val="24"/>
          <w:szCs w:val="24"/>
        </w:rPr>
        <w:t>V. Experimental Results</w:t>
      </w:r>
    </w:p>
    <w:p w14:paraId="2B0AA9BB" w14:textId="77777777" w:rsidR="008D574E" w:rsidRPr="00580014" w:rsidRDefault="008D574E" w:rsidP="008D574E">
      <w:pPr>
        <w:spacing w:line="480" w:lineRule="auto"/>
        <w:rPr>
          <w:rFonts w:ascii="Times New Roman" w:eastAsiaTheme="minorEastAsia" w:hAnsi="Times New Roman" w:cs="Times New Roman"/>
          <w:i/>
          <w:sz w:val="24"/>
          <w:szCs w:val="24"/>
        </w:rPr>
      </w:pPr>
      <w:r w:rsidRPr="00580014">
        <w:rPr>
          <w:rFonts w:ascii="Times New Roman" w:eastAsiaTheme="minorEastAsia" w:hAnsi="Times New Roman" w:cs="Times New Roman"/>
          <w:i/>
          <w:sz w:val="24"/>
          <w:szCs w:val="24"/>
        </w:rPr>
        <w:t>A. Buyer offers</w:t>
      </w:r>
    </w:p>
    <w:p w14:paraId="531E473F" w14:textId="77777777" w:rsidR="00B31E08" w:rsidRPr="00580014" w:rsidRDefault="008D574E">
      <w:pPr>
        <w:spacing w:line="480" w:lineRule="auto"/>
        <w:jc w:val="both"/>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ab/>
        <w:t>In Figure 1</w:t>
      </w:r>
      <w:r w:rsidR="00725C44" w:rsidRPr="00580014">
        <w:rPr>
          <w:rFonts w:ascii="Times New Roman" w:eastAsiaTheme="minorEastAsia" w:hAnsi="Times New Roman" w:cs="Times New Roman"/>
          <w:sz w:val="24"/>
          <w:szCs w:val="24"/>
        </w:rPr>
        <w:t>,</w:t>
      </w:r>
      <w:r w:rsidRPr="00580014">
        <w:rPr>
          <w:rFonts w:ascii="Times New Roman" w:eastAsiaTheme="minorEastAsia" w:hAnsi="Times New Roman" w:cs="Times New Roman"/>
          <w:sz w:val="24"/>
          <w:szCs w:val="24"/>
        </w:rPr>
        <w:t xml:space="preserve"> we present the average first offer and average final offer by treatment.  It is clear that buyers who </w:t>
      </w:r>
      <w:r w:rsidR="00AC7E25" w:rsidRPr="00580014">
        <w:rPr>
          <w:rFonts w:ascii="Times New Roman" w:eastAsiaTheme="minorEastAsia" w:hAnsi="Times New Roman" w:cs="Times New Roman"/>
          <w:sz w:val="24"/>
          <w:szCs w:val="24"/>
        </w:rPr>
        <w:t>could not exercise</w:t>
      </w:r>
      <w:r w:rsidRPr="00580014">
        <w:rPr>
          <w:rFonts w:ascii="Times New Roman" w:eastAsiaTheme="minorEastAsia" w:hAnsi="Times New Roman" w:cs="Times New Roman"/>
          <w:sz w:val="24"/>
          <w:szCs w:val="24"/>
        </w:rPr>
        <w:t xml:space="preserve"> eminent domain tended to submit offers that were below the equilibrium predictions.  In the </w:t>
      </w:r>
      <w:r w:rsidRPr="00580014">
        <w:rPr>
          <w:rFonts w:ascii="Times New Roman" w:eastAsiaTheme="minorEastAsia" w:hAnsi="Times New Roman" w:cs="Times New Roman"/>
          <w:i/>
          <w:sz w:val="24"/>
          <w:szCs w:val="24"/>
        </w:rPr>
        <w:t>Baseline</w:t>
      </w:r>
      <w:r w:rsidRPr="00580014">
        <w:rPr>
          <w:rFonts w:ascii="Times New Roman" w:eastAsiaTheme="minorEastAsia" w:hAnsi="Times New Roman" w:cs="Times New Roman"/>
          <w:sz w:val="24"/>
          <w:szCs w:val="24"/>
        </w:rPr>
        <w:t xml:space="preserve"> treatment the average first period offer was 58.6, which is 21.9% below the profit-maximizing offer of 75.  This is not due to a small number of outliers.  Of the 45 first offers in the </w:t>
      </w:r>
      <w:r w:rsidRPr="00580014">
        <w:rPr>
          <w:rFonts w:ascii="Times New Roman" w:eastAsiaTheme="minorEastAsia" w:hAnsi="Times New Roman" w:cs="Times New Roman"/>
          <w:i/>
          <w:sz w:val="24"/>
          <w:szCs w:val="24"/>
        </w:rPr>
        <w:t>Baseline</w:t>
      </w:r>
      <w:r w:rsidRPr="00580014">
        <w:rPr>
          <w:rFonts w:ascii="Times New Roman" w:eastAsiaTheme="minorEastAsia" w:hAnsi="Times New Roman" w:cs="Times New Roman"/>
          <w:sz w:val="24"/>
          <w:szCs w:val="24"/>
        </w:rPr>
        <w:t xml:space="preserve"> treatment, 38 (84.4%) were below the optimal offer given the buyer’s value.  We compared the first period offers to their predicted values with a Wilcoxon sign rank test.  The unit of analysis was the average of a buyer’s two offers in the first period of the round.  We can reject the null hypothesis that first period offers in the </w:t>
      </w:r>
      <w:r w:rsidRPr="00580014">
        <w:rPr>
          <w:rFonts w:ascii="Times New Roman" w:eastAsiaTheme="minorEastAsia" w:hAnsi="Times New Roman" w:cs="Times New Roman"/>
          <w:i/>
          <w:sz w:val="24"/>
          <w:szCs w:val="24"/>
        </w:rPr>
        <w:t>Baseline</w:t>
      </w:r>
      <w:r w:rsidRPr="00580014">
        <w:rPr>
          <w:rFonts w:ascii="Times New Roman" w:eastAsiaTheme="minorEastAsia" w:hAnsi="Times New Roman" w:cs="Times New Roman"/>
          <w:sz w:val="24"/>
          <w:szCs w:val="24"/>
        </w:rPr>
        <w:t xml:space="preserve"> treatment were no different from the equilibrium with high confidence (</w:t>
      </w:r>
      <w:r w:rsidRPr="00580014">
        <w:rPr>
          <w:rFonts w:ascii="Times New Roman" w:eastAsiaTheme="minorEastAsia" w:hAnsi="Times New Roman" w:cs="Times New Roman"/>
          <w:i/>
          <w:sz w:val="24"/>
          <w:szCs w:val="24"/>
        </w:rPr>
        <w:t>p</w:t>
      </w:r>
      <w:r w:rsidRPr="00580014">
        <w:rPr>
          <w:rFonts w:ascii="Times New Roman" w:eastAsiaTheme="minorEastAsia" w:hAnsi="Times New Roman" w:cs="Times New Roman"/>
          <w:sz w:val="24"/>
          <w:szCs w:val="24"/>
        </w:rPr>
        <w:t xml:space="preserve"> &lt; 0.001).</w:t>
      </w:r>
    </w:p>
    <w:p w14:paraId="4BA00D55" w14:textId="77777777" w:rsidR="00AB6C57" w:rsidRPr="00580014" w:rsidRDefault="00AB6C57" w:rsidP="00AB6C57">
      <w:pPr>
        <w:spacing w:line="480" w:lineRule="auto"/>
        <w:jc w:val="center"/>
        <w:rPr>
          <w:rFonts w:ascii="Times New Roman" w:eastAsiaTheme="minorEastAsia" w:hAnsi="Times New Roman" w:cs="Times New Roman"/>
          <w:b/>
          <w:sz w:val="24"/>
          <w:szCs w:val="24"/>
        </w:rPr>
      </w:pPr>
      <w:r w:rsidRPr="00580014">
        <w:rPr>
          <w:rFonts w:ascii="Times New Roman" w:eastAsiaTheme="minorEastAsia" w:hAnsi="Times New Roman" w:cs="Times New Roman"/>
          <w:b/>
          <w:sz w:val="24"/>
          <w:szCs w:val="24"/>
        </w:rPr>
        <w:t>[Figure 1 Here]</w:t>
      </w:r>
    </w:p>
    <w:p w14:paraId="562C60BA" w14:textId="0421FBD5" w:rsidR="00B31E08" w:rsidRPr="00580014" w:rsidRDefault="008D574E">
      <w:pPr>
        <w:spacing w:line="480" w:lineRule="auto"/>
        <w:jc w:val="both"/>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ab/>
        <w:t xml:space="preserve">The </w:t>
      </w:r>
      <w:r w:rsidR="00F172F7" w:rsidRPr="00580014">
        <w:rPr>
          <w:rFonts w:ascii="Times New Roman" w:eastAsiaTheme="minorEastAsia" w:hAnsi="Times New Roman" w:cs="Times New Roman"/>
          <w:i/>
          <w:sz w:val="24"/>
          <w:szCs w:val="24"/>
        </w:rPr>
        <w:t xml:space="preserve">Baseline </w:t>
      </w:r>
      <w:r w:rsidRPr="00580014">
        <w:rPr>
          <w:rFonts w:ascii="Times New Roman" w:eastAsiaTheme="minorEastAsia" w:hAnsi="Times New Roman" w:cs="Times New Roman"/>
          <w:sz w:val="24"/>
          <w:szCs w:val="24"/>
        </w:rPr>
        <w:t xml:space="preserve">offers did increase in subsequent periods, but remained overly conservative.  The average final offer in the </w:t>
      </w:r>
      <w:r w:rsidRPr="00580014">
        <w:rPr>
          <w:rFonts w:ascii="Times New Roman" w:eastAsiaTheme="minorEastAsia" w:hAnsi="Times New Roman" w:cs="Times New Roman"/>
          <w:i/>
          <w:sz w:val="24"/>
          <w:szCs w:val="24"/>
        </w:rPr>
        <w:t>Baseline</w:t>
      </w:r>
      <w:r w:rsidRPr="00580014">
        <w:rPr>
          <w:rFonts w:ascii="Times New Roman" w:eastAsiaTheme="minorEastAsia" w:hAnsi="Times New Roman" w:cs="Times New Roman"/>
          <w:sz w:val="24"/>
          <w:szCs w:val="24"/>
        </w:rPr>
        <w:t xml:space="preserve"> treatment was 69.5.  </w:t>
      </w:r>
      <w:r w:rsidR="00725C44" w:rsidRPr="00580014">
        <w:rPr>
          <w:rFonts w:ascii="Times New Roman" w:eastAsiaTheme="minorEastAsia" w:hAnsi="Times New Roman" w:cs="Times New Roman"/>
          <w:sz w:val="24"/>
          <w:szCs w:val="24"/>
        </w:rPr>
        <w:t xml:space="preserve">Sixty percent </w:t>
      </w:r>
      <w:r w:rsidRPr="00580014">
        <w:rPr>
          <w:rFonts w:ascii="Times New Roman" w:eastAsiaTheme="minorEastAsia" w:hAnsi="Times New Roman" w:cs="Times New Roman"/>
          <w:sz w:val="24"/>
          <w:szCs w:val="24"/>
        </w:rPr>
        <w:t xml:space="preserve">of </w:t>
      </w:r>
      <w:r w:rsidR="006B3F47" w:rsidRPr="00580014">
        <w:rPr>
          <w:rFonts w:ascii="Times New Roman" w:eastAsiaTheme="minorEastAsia" w:hAnsi="Times New Roman" w:cs="Times New Roman"/>
          <w:sz w:val="24"/>
          <w:szCs w:val="24"/>
        </w:rPr>
        <w:t xml:space="preserve">these final </w:t>
      </w:r>
      <w:r w:rsidRPr="00580014">
        <w:rPr>
          <w:rFonts w:ascii="Times New Roman" w:eastAsiaTheme="minorEastAsia" w:hAnsi="Times New Roman" w:cs="Times New Roman"/>
          <w:sz w:val="24"/>
          <w:szCs w:val="24"/>
        </w:rPr>
        <w:t xml:space="preserve">offers were below the equilibrium prediction.  A Mann-Whitney test comparing a buyer’s final average offer of the round with his first </w:t>
      </w:r>
      <w:r w:rsidR="006B3F47" w:rsidRPr="00580014">
        <w:rPr>
          <w:rFonts w:ascii="Times New Roman" w:eastAsiaTheme="minorEastAsia" w:hAnsi="Times New Roman" w:cs="Times New Roman"/>
          <w:sz w:val="24"/>
          <w:szCs w:val="24"/>
        </w:rPr>
        <w:t xml:space="preserve">offer </w:t>
      </w:r>
      <w:r w:rsidRPr="00580014">
        <w:rPr>
          <w:rFonts w:ascii="Times New Roman" w:eastAsiaTheme="minorEastAsia" w:hAnsi="Times New Roman" w:cs="Times New Roman"/>
          <w:sz w:val="24"/>
          <w:szCs w:val="24"/>
        </w:rPr>
        <w:t>indicates that the difference is significant</w:t>
      </w:r>
      <w:r w:rsidR="006B3F47" w:rsidRPr="00580014">
        <w:rPr>
          <w:rFonts w:ascii="Times New Roman" w:eastAsiaTheme="minorEastAsia" w:hAnsi="Times New Roman" w:cs="Times New Roman"/>
          <w:sz w:val="24"/>
          <w:szCs w:val="24"/>
        </w:rPr>
        <w:t>ly different</w:t>
      </w:r>
      <w:r w:rsidRPr="00580014">
        <w:rPr>
          <w:rFonts w:ascii="Times New Roman" w:eastAsiaTheme="minorEastAsia" w:hAnsi="Times New Roman" w:cs="Times New Roman"/>
          <w:sz w:val="24"/>
          <w:szCs w:val="24"/>
        </w:rPr>
        <w:t xml:space="preserve"> (</w:t>
      </w:r>
      <w:r w:rsidRPr="00580014">
        <w:rPr>
          <w:rFonts w:ascii="Times New Roman" w:eastAsiaTheme="minorEastAsia" w:hAnsi="Times New Roman" w:cs="Times New Roman"/>
          <w:i/>
          <w:sz w:val="24"/>
          <w:szCs w:val="24"/>
        </w:rPr>
        <w:t>p</w:t>
      </w:r>
      <w:r w:rsidRPr="00580014">
        <w:rPr>
          <w:rFonts w:ascii="Times New Roman" w:eastAsiaTheme="minorEastAsia" w:hAnsi="Times New Roman" w:cs="Times New Roman"/>
          <w:sz w:val="24"/>
          <w:szCs w:val="24"/>
        </w:rPr>
        <w:t xml:space="preserve"> &lt; 0.001).  However, a Wilcoxon sign rank test shows that </w:t>
      </w:r>
      <w:r w:rsidR="0054152A" w:rsidRPr="00580014">
        <w:rPr>
          <w:rFonts w:ascii="Times New Roman" w:eastAsiaTheme="minorEastAsia" w:hAnsi="Times New Roman" w:cs="Times New Roman"/>
          <w:sz w:val="24"/>
          <w:szCs w:val="24"/>
        </w:rPr>
        <w:t xml:space="preserve">even by the end of negotiations the typical buyer in the </w:t>
      </w:r>
      <w:r w:rsidR="0054152A" w:rsidRPr="00580014">
        <w:rPr>
          <w:rFonts w:ascii="Times New Roman" w:eastAsiaTheme="minorEastAsia" w:hAnsi="Times New Roman" w:cs="Times New Roman"/>
          <w:i/>
          <w:sz w:val="24"/>
          <w:szCs w:val="24"/>
        </w:rPr>
        <w:t>Baseline</w:t>
      </w:r>
      <w:r w:rsidR="0054152A" w:rsidRPr="00580014">
        <w:rPr>
          <w:rFonts w:ascii="Times New Roman" w:eastAsiaTheme="minorEastAsia" w:hAnsi="Times New Roman" w:cs="Times New Roman"/>
          <w:sz w:val="24"/>
          <w:szCs w:val="24"/>
        </w:rPr>
        <w:t xml:space="preserve"> offered the sellers less than would have been optimal in the first period </w:t>
      </w:r>
      <w:r w:rsidRPr="00580014">
        <w:rPr>
          <w:rFonts w:ascii="Times New Roman" w:eastAsiaTheme="minorEastAsia" w:hAnsi="Times New Roman" w:cs="Times New Roman"/>
          <w:sz w:val="24"/>
          <w:szCs w:val="24"/>
        </w:rPr>
        <w:t>(</w:t>
      </w:r>
      <w:r w:rsidRPr="00580014">
        <w:rPr>
          <w:rFonts w:ascii="Times New Roman" w:eastAsiaTheme="minorEastAsia" w:hAnsi="Times New Roman" w:cs="Times New Roman"/>
          <w:i/>
          <w:sz w:val="24"/>
          <w:szCs w:val="24"/>
        </w:rPr>
        <w:t>p</w:t>
      </w:r>
      <w:r w:rsidRPr="00580014">
        <w:rPr>
          <w:rFonts w:ascii="Times New Roman" w:eastAsiaTheme="minorEastAsia" w:hAnsi="Times New Roman" w:cs="Times New Roman"/>
          <w:sz w:val="24"/>
          <w:szCs w:val="24"/>
        </w:rPr>
        <w:t xml:space="preserve"> = 0.002).  </w:t>
      </w:r>
    </w:p>
    <w:p w14:paraId="7F879A28" w14:textId="2A36F60A" w:rsidR="008D574E" w:rsidRPr="00580014" w:rsidRDefault="008D574E" w:rsidP="008D574E">
      <w:pPr>
        <w:spacing w:line="480" w:lineRule="auto"/>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ab/>
        <w:t xml:space="preserve">The pattern was similar in the </w:t>
      </w:r>
      <w:r w:rsidRPr="00580014">
        <w:rPr>
          <w:rFonts w:ascii="Times New Roman" w:eastAsiaTheme="minorEastAsia" w:hAnsi="Times New Roman" w:cs="Times New Roman"/>
          <w:i/>
          <w:sz w:val="24"/>
          <w:szCs w:val="24"/>
        </w:rPr>
        <w:t>Competition</w:t>
      </w:r>
      <w:r w:rsidRPr="00580014">
        <w:rPr>
          <w:rFonts w:ascii="Times New Roman" w:eastAsiaTheme="minorEastAsia" w:hAnsi="Times New Roman" w:cs="Times New Roman"/>
          <w:sz w:val="24"/>
          <w:szCs w:val="24"/>
        </w:rPr>
        <w:t xml:space="preserve"> treatment, but not as </w:t>
      </w:r>
      <w:r w:rsidR="00640D4E">
        <w:rPr>
          <w:rFonts w:ascii="Times New Roman" w:eastAsiaTheme="minorEastAsia" w:hAnsi="Times New Roman" w:cs="Times New Roman"/>
          <w:sz w:val="24"/>
          <w:szCs w:val="24"/>
        </w:rPr>
        <w:t>pronounced</w:t>
      </w:r>
      <w:r w:rsidR="005402F3">
        <w:rPr>
          <w:rFonts w:ascii="Times New Roman" w:eastAsiaTheme="minorEastAsia" w:hAnsi="Times New Roman" w:cs="Times New Roman"/>
          <w:sz w:val="24"/>
          <w:szCs w:val="24"/>
        </w:rPr>
        <w:t xml:space="preserve"> as the </w:t>
      </w:r>
      <w:r w:rsidR="005402F3" w:rsidRPr="005402F3">
        <w:rPr>
          <w:rFonts w:ascii="Times New Roman" w:eastAsiaTheme="minorEastAsia" w:hAnsi="Times New Roman" w:cs="Times New Roman"/>
          <w:i/>
          <w:sz w:val="24"/>
          <w:szCs w:val="24"/>
        </w:rPr>
        <w:t>Baseline</w:t>
      </w:r>
      <w:r w:rsidRPr="00580014">
        <w:rPr>
          <w:rFonts w:ascii="Times New Roman" w:eastAsiaTheme="minorEastAsia" w:hAnsi="Times New Roman" w:cs="Times New Roman"/>
          <w:sz w:val="24"/>
          <w:szCs w:val="24"/>
        </w:rPr>
        <w:t xml:space="preserve">.  The average buyer’s value was 168 points, which implied an average first offer of 68.5.  Buyers’ offers were 64.4 on average, or approximately 6% below equilibrium.  The difference between optimal and observed offers is marginally statistically significant (Wilcoxon, </w:t>
      </w:r>
      <w:r w:rsidRPr="00580014">
        <w:rPr>
          <w:rFonts w:ascii="Times New Roman" w:eastAsiaTheme="minorEastAsia" w:hAnsi="Times New Roman" w:cs="Times New Roman"/>
          <w:i/>
          <w:sz w:val="24"/>
          <w:szCs w:val="24"/>
        </w:rPr>
        <w:t>p</w:t>
      </w:r>
      <w:r w:rsidRPr="00580014">
        <w:rPr>
          <w:rFonts w:ascii="Times New Roman" w:eastAsiaTheme="minorEastAsia" w:hAnsi="Times New Roman" w:cs="Times New Roman"/>
          <w:sz w:val="24"/>
          <w:szCs w:val="24"/>
        </w:rPr>
        <w:t xml:space="preserve"> = 0.052)</w:t>
      </w:r>
      <w:r w:rsidR="005307A3" w:rsidRPr="00580014">
        <w:rPr>
          <w:rFonts w:ascii="Times New Roman" w:eastAsiaTheme="minorEastAsia" w:hAnsi="Times New Roman" w:cs="Times New Roman"/>
          <w:sz w:val="24"/>
          <w:szCs w:val="24"/>
        </w:rPr>
        <w:t xml:space="preserve"> but rather small in economic significance</w:t>
      </w:r>
      <w:r w:rsidRPr="00580014">
        <w:rPr>
          <w:rFonts w:ascii="Times New Roman" w:eastAsiaTheme="minorEastAsia" w:hAnsi="Times New Roman" w:cs="Times New Roman"/>
          <w:sz w:val="24"/>
          <w:szCs w:val="24"/>
        </w:rPr>
        <w:t xml:space="preserve">.  The average final offer in the </w:t>
      </w:r>
      <w:r w:rsidRPr="00580014">
        <w:rPr>
          <w:rFonts w:ascii="Times New Roman" w:eastAsiaTheme="minorEastAsia" w:hAnsi="Times New Roman" w:cs="Times New Roman"/>
          <w:i/>
          <w:sz w:val="24"/>
          <w:szCs w:val="24"/>
        </w:rPr>
        <w:t>Competition</w:t>
      </w:r>
      <w:r w:rsidRPr="00580014">
        <w:rPr>
          <w:rFonts w:ascii="Times New Roman" w:eastAsiaTheme="minorEastAsia" w:hAnsi="Times New Roman" w:cs="Times New Roman"/>
          <w:sz w:val="24"/>
          <w:szCs w:val="24"/>
        </w:rPr>
        <w:t xml:space="preserve"> treatment was 70.1, which is not statistically different than the predicted first-period offer (Wilcoxon, </w:t>
      </w:r>
      <w:r w:rsidRPr="00580014">
        <w:rPr>
          <w:rFonts w:ascii="Times New Roman" w:eastAsiaTheme="minorEastAsia" w:hAnsi="Times New Roman" w:cs="Times New Roman"/>
          <w:i/>
          <w:sz w:val="24"/>
          <w:szCs w:val="24"/>
        </w:rPr>
        <w:t>p</w:t>
      </w:r>
      <w:r w:rsidRPr="00580014">
        <w:rPr>
          <w:rFonts w:ascii="Times New Roman" w:eastAsiaTheme="minorEastAsia" w:hAnsi="Times New Roman" w:cs="Times New Roman"/>
          <w:sz w:val="24"/>
          <w:szCs w:val="24"/>
        </w:rPr>
        <w:t xml:space="preserve"> = 0.592).  Overall, 42.2% of first offers and 22.2% of final offers were below equilibrium</w:t>
      </w:r>
      <w:r w:rsidR="00F172F7" w:rsidRPr="00580014">
        <w:rPr>
          <w:rFonts w:ascii="Times New Roman" w:eastAsiaTheme="minorEastAsia" w:hAnsi="Times New Roman" w:cs="Times New Roman"/>
          <w:sz w:val="24"/>
          <w:szCs w:val="24"/>
        </w:rPr>
        <w:t xml:space="preserve"> in the </w:t>
      </w:r>
      <w:r w:rsidR="00F172F7" w:rsidRPr="00580014">
        <w:rPr>
          <w:rFonts w:ascii="Times New Roman" w:eastAsiaTheme="minorEastAsia" w:hAnsi="Times New Roman" w:cs="Times New Roman"/>
          <w:i/>
          <w:sz w:val="24"/>
          <w:szCs w:val="24"/>
        </w:rPr>
        <w:t>Competition</w:t>
      </w:r>
      <w:r w:rsidR="00F172F7" w:rsidRPr="00580014">
        <w:rPr>
          <w:rFonts w:ascii="Times New Roman" w:eastAsiaTheme="minorEastAsia" w:hAnsi="Times New Roman" w:cs="Times New Roman"/>
          <w:sz w:val="24"/>
          <w:szCs w:val="24"/>
        </w:rPr>
        <w:t xml:space="preserve"> treatment</w:t>
      </w:r>
      <w:r w:rsidRPr="00580014">
        <w:rPr>
          <w:rFonts w:ascii="Times New Roman" w:eastAsiaTheme="minorEastAsia" w:hAnsi="Times New Roman" w:cs="Times New Roman"/>
          <w:sz w:val="24"/>
          <w:szCs w:val="24"/>
        </w:rPr>
        <w:t>.</w:t>
      </w:r>
    </w:p>
    <w:p w14:paraId="1031E187" w14:textId="77777777" w:rsidR="00B31E08" w:rsidRPr="00580014" w:rsidRDefault="008D574E">
      <w:pPr>
        <w:spacing w:line="480" w:lineRule="auto"/>
        <w:jc w:val="both"/>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ab/>
        <w:t xml:space="preserve">Notice that introducing competition among the sellers </w:t>
      </w:r>
      <w:r w:rsidR="00AC7E25" w:rsidRPr="00580014">
        <w:rPr>
          <w:rFonts w:ascii="Times New Roman" w:eastAsiaTheme="minorEastAsia" w:hAnsi="Times New Roman" w:cs="Times New Roman"/>
          <w:sz w:val="24"/>
          <w:szCs w:val="24"/>
        </w:rPr>
        <w:t>was predicted to reduce buyers’ offers by four points</w:t>
      </w:r>
      <w:r w:rsidRPr="00580014">
        <w:rPr>
          <w:rFonts w:ascii="Times New Roman" w:eastAsiaTheme="minorEastAsia" w:hAnsi="Times New Roman" w:cs="Times New Roman"/>
          <w:sz w:val="24"/>
          <w:szCs w:val="24"/>
        </w:rPr>
        <w:t xml:space="preserve">.  </w:t>
      </w:r>
      <w:r w:rsidR="00AC7E25" w:rsidRPr="00580014">
        <w:rPr>
          <w:rFonts w:ascii="Times New Roman" w:eastAsiaTheme="minorEastAsia" w:hAnsi="Times New Roman" w:cs="Times New Roman"/>
          <w:sz w:val="24"/>
          <w:szCs w:val="24"/>
        </w:rPr>
        <w:t>Instead</w:t>
      </w:r>
      <w:r w:rsidRPr="00580014">
        <w:rPr>
          <w:rFonts w:ascii="Times New Roman" w:eastAsiaTheme="minorEastAsia" w:hAnsi="Times New Roman" w:cs="Times New Roman"/>
          <w:sz w:val="24"/>
          <w:szCs w:val="24"/>
        </w:rPr>
        <w:t xml:space="preserve"> the buyers </w:t>
      </w:r>
      <w:r w:rsidR="00AC7E25" w:rsidRPr="00580014">
        <w:rPr>
          <w:rFonts w:ascii="Times New Roman" w:eastAsiaTheme="minorEastAsia" w:hAnsi="Times New Roman" w:cs="Times New Roman"/>
          <w:sz w:val="24"/>
          <w:szCs w:val="24"/>
        </w:rPr>
        <w:t xml:space="preserve">increased </w:t>
      </w:r>
      <w:r w:rsidRPr="00580014">
        <w:rPr>
          <w:rFonts w:ascii="Times New Roman" w:eastAsiaTheme="minorEastAsia" w:hAnsi="Times New Roman" w:cs="Times New Roman"/>
          <w:sz w:val="24"/>
          <w:szCs w:val="24"/>
        </w:rPr>
        <w:t>the</w:t>
      </w:r>
      <w:r w:rsidR="00AC7E25" w:rsidRPr="00580014">
        <w:rPr>
          <w:rFonts w:ascii="Times New Roman" w:eastAsiaTheme="minorEastAsia" w:hAnsi="Times New Roman" w:cs="Times New Roman"/>
          <w:sz w:val="24"/>
          <w:szCs w:val="24"/>
        </w:rPr>
        <w:t>ir offers</w:t>
      </w:r>
      <w:r w:rsidRPr="00580014">
        <w:rPr>
          <w:rFonts w:ascii="Times New Roman" w:eastAsiaTheme="minorEastAsia" w:hAnsi="Times New Roman" w:cs="Times New Roman"/>
          <w:sz w:val="24"/>
          <w:szCs w:val="24"/>
        </w:rPr>
        <w:t xml:space="preserve"> by an average of almost 10 </w:t>
      </w:r>
      <w:r w:rsidR="00925B97" w:rsidRPr="00580014">
        <w:rPr>
          <w:rFonts w:ascii="Times New Roman" w:eastAsiaTheme="minorEastAsia" w:hAnsi="Times New Roman" w:cs="Times New Roman"/>
          <w:sz w:val="24"/>
          <w:szCs w:val="24"/>
        </w:rPr>
        <w:t>points.  Mann-Whitney tests do</w:t>
      </w:r>
      <w:r w:rsidRPr="00580014">
        <w:rPr>
          <w:rFonts w:ascii="Times New Roman" w:eastAsiaTheme="minorEastAsia" w:hAnsi="Times New Roman" w:cs="Times New Roman"/>
          <w:sz w:val="24"/>
          <w:szCs w:val="24"/>
        </w:rPr>
        <w:t xml:space="preserve"> not find the distributions of first or final offers to be statistically different between the </w:t>
      </w:r>
      <w:r w:rsidRPr="00580014">
        <w:rPr>
          <w:rFonts w:ascii="Times New Roman" w:eastAsiaTheme="minorEastAsia" w:hAnsi="Times New Roman" w:cs="Times New Roman"/>
          <w:i/>
          <w:sz w:val="24"/>
          <w:szCs w:val="24"/>
        </w:rPr>
        <w:t>Baseline</w:t>
      </w:r>
      <w:r w:rsidRPr="00580014">
        <w:rPr>
          <w:rFonts w:ascii="Times New Roman" w:eastAsiaTheme="minorEastAsia" w:hAnsi="Times New Roman" w:cs="Times New Roman"/>
          <w:sz w:val="24"/>
          <w:szCs w:val="24"/>
        </w:rPr>
        <w:t xml:space="preserve"> and </w:t>
      </w:r>
      <w:r w:rsidRPr="00580014">
        <w:rPr>
          <w:rFonts w:ascii="Times New Roman" w:eastAsiaTheme="minorEastAsia" w:hAnsi="Times New Roman" w:cs="Times New Roman"/>
          <w:i/>
          <w:sz w:val="24"/>
          <w:szCs w:val="24"/>
        </w:rPr>
        <w:t>Competition</w:t>
      </w:r>
      <w:r w:rsidRPr="00580014">
        <w:rPr>
          <w:rFonts w:ascii="Times New Roman" w:eastAsiaTheme="minorEastAsia" w:hAnsi="Times New Roman" w:cs="Times New Roman"/>
          <w:sz w:val="24"/>
          <w:szCs w:val="24"/>
        </w:rPr>
        <w:t xml:space="preserve"> treatments (</w:t>
      </w:r>
      <w:r w:rsidRPr="00580014">
        <w:rPr>
          <w:rFonts w:ascii="Times New Roman" w:eastAsiaTheme="minorEastAsia" w:hAnsi="Times New Roman" w:cs="Times New Roman"/>
          <w:i/>
          <w:sz w:val="24"/>
          <w:szCs w:val="24"/>
        </w:rPr>
        <w:t>p</w:t>
      </w:r>
      <w:r w:rsidRPr="00580014">
        <w:rPr>
          <w:rFonts w:ascii="Times New Roman" w:eastAsiaTheme="minorEastAsia" w:hAnsi="Times New Roman" w:cs="Times New Roman"/>
          <w:sz w:val="24"/>
          <w:szCs w:val="24"/>
        </w:rPr>
        <w:t xml:space="preserve"> = 0.263 and </w:t>
      </w:r>
      <w:r w:rsidRPr="00580014">
        <w:rPr>
          <w:rFonts w:ascii="Times New Roman" w:eastAsiaTheme="minorEastAsia" w:hAnsi="Times New Roman" w:cs="Times New Roman"/>
          <w:i/>
          <w:sz w:val="24"/>
          <w:szCs w:val="24"/>
        </w:rPr>
        <w:t>p</w:t>
      </w:r>
      <w:r w:rsidRPr="00580014">
        <w:rPr>
          <w:rFonts w:ascii="Times New Roman" w:eastAsiaTheme="minorEastAsia" w:hAnsi="Times New Roman" w:cs="Times New Roman"/>
          <w:sz w:val="24"/>
          <w:szCs w:val="24"/>
        </w:rPr>
        <w:t xml:space="preserve"> = 0.765).  However, we also compared offers in these treatments by performing chi-squared tests of the frequency of offering less than the equilibrium prediction.  Buyers in the </w:t>
      </w:r>
      <w:r w:rsidRPr="00580014">
        <w:rPr>
          <w:rFonts w:ascii="Times New Roman" w:eastAsiaTheme="minorEastAsia" w:hAnsi="Times New Roman" w:cs="Times New Roman"/>
          <w:i/>
          <w:sz w:val="24"/>
          <w:szCs w:val="24"/>
        </w:rPr>
        <w:t>Baseline</w:t>
      </w:r>
      <w:r w:rsidRPr="00580014">
        <w:rPr>
          <w:rFonts w:ascii="Times New Roman" w:eastAsiaTheme="minorEastAsia" w:hAnsi="Times New Roman" w:cs="Times New Roman"/>
          <w:sz w:val="24"/>
          <w:szCs w:val="24"/>
        </w:rPr>
        <w:t xml:space="preserve"> were more likely to offer less than the equilibrium in both their first and final offers (</w:t>
      </w:r>
      <w:r w:rsidRPr="00580014">
        <w:rPr>
          <w:rFonts w:ascii="Times New Roman" w:eastAsiaTheme="minorEastAsia" w:hAnsi="Times New Roman" w:cs="Times New Roman"/>
          <w:i/>
          <w:sz w:val="24"/>
          <w:szCs w:val="24"/>
        </w:rPr>
        <w:t>p</w:t>
      </w:r>
      <w:r w:rsidRPr="00580014">
        <w:rPr>
          <w:rFonts w:ascii="Times New Roman" w:eastAsiaTheme="minorEastAsia" w:hAnsi="Times New Roman" w:cs="Times New Roman"/>
          <w:sz w:val="24"/>
          <w:szCs w:val="24"/>
        </w:rPr>
        <w:t xml:space="preserve"> &lt; 0.001 in both cases).  Our results suggest that the presence of an imperfect substitute encourages more generous offers from the buyer.  In the </w:t>
      </w:r>
      <w:r w:rsidRPr="00580014">
        <w:rPr>
          <w:rFonts w:ascii="Times New Roman" w:eastAsiaTheme="minorEastAsia" w:hAnsi="Times New Roman" w:cs="Times New Roman"/>
          <w:i/>
          <w:sz w:val="24"/>
          <w:szCs w:val="24"/>
        </w:rPr>
        <w:t>Baseline</w:t>
      </w:r>
      <w:r w:rsidRPr="00580014">
        <w:rPr>
          <w:rFonts w:ascii="Times New Roman" w:eastAsiaTheme="minorEastAsia" w:hAnsi="Times New Roman" w:cs="Times New Roman"/>
          <w:sz w:val="24"/>
          <w:szCs w:val="24"/>
        </w:rPr>
        <w:t xml:space="preserve"> treatment buyers may have made low offers in an effort to avoid overpaying one of the sellers and thereby constraining their ability to make an adequate offer to the other.  This was less of a concern in the </w:t>
      </w:r>
      <w:r w:rsidRPr="00580014">
        <w:rPr>
          <w:rFonts w:ascii="Times New Roman" w:eastAsiaTheme="minorEastAsia" w:hAnsi="Times New Roman" w:cs="Times New Roman"/>
          <w:i/>
          <w:sz w:val="24"/>
          <w:szCs w:val="24"/>
        </w:rPr>
        <w:t>Competition</w:t>
      </w:r>
      <w:r w:rsidRPr="00580014">
        <w:rPr>
          <w:rFonts w:ascii="Times New Roman" w:eastAsiaTheme="minorEastAsia" w:hAnsi="Times New Roman" w:cs="Times New Roman"/>
          <w:sz w:val="24"/>
          <w:szCs w:val="24"/>
        </w:rPr>
        <w:t xml:space="preserve"> treatment because even if the buyer found himself unable to make a sufficiently high offer to one of the primary sellers he might still negotiate a contract with the alternative seller.</w:t>
      </w:r>
    </w:p>
    <w:p w14:paraId="64A5A838" w14:textId="77777777" w:rsidR="00B31E08" w:rsidRPr="00580014" w:rsidRDefault="008D574E">
      <w:pPr>
        <w:spacing w:line="480" w:lineRule="auto"/>
        <w:jc w:val="both"/>
        <w:rPr>
          <w:rFonts w:ascii="Times New Roman" w:hAnsi="Times New Roman" w:cs="Times New Roman"/>
        </w:rPr>
      </w:pPr>
      <w:r w:rsidRPr="00580014">
        <w:rPr>
          <w:rFonts w:ascii="Times New Roman" w:eastAsiaTheme="minorEastAsia" w:hAnsi="Times New Roman" w:cs="Times New Roman"/>
          <w:sz w:val="24"/>
          <w:szCs w:val="24"/>
        </w:rPr>
        <w:tab/>
        <w:t>While offers under secure property tended to be too low, offers under eminent domain were higher than predicted.  The average first offer was 5</w:t>
      </w:r>
      <w:r w:rsidR="007215D6" w:rsidRPr="00580014">
        <w:rPr>
          <w:rFonts w:ascii="Times New Roman" w:eastAsiaTheme="minorEastAsia" w:hAnsi="Times New Roman" w:cs="Times New Roman"/>
          <w:sz w:val="24"/>
          <w:szCs w:val="24"/>
        </w:rPr>
        <w:t>6</w:t>
      </w:r>
      <w:r w:rsidRPr="00580014">
        <w:rPr>
          <w:rFonts w:ascii="Times New Roman" w:eastAsiaTheme="minorEastAsia" w:hAnsi="Times New Roman" w:cs="Times New Roman"/>
          <w:sz w:val="24"/>
          <w:szCs w:val="24"/>
        </w:rPr>
        <w:t xml:space="preserve"> in the </w:t>
      </w:r>
      <w:r w:rsidRPr="00580014">
        <w:rPr>
          <w:rFonts w:ascii="Times New Roman" w:eastAsiaTheme="minorEastAsia" w:hAnsi="Times New Roman" w:cs="Times New Roman"/>
          <w:i/>
          <w:sz w:val="24"/>
          <w:szCs w:val="24"/>
        </w:rPr>
        <w:t>Eminent Domain</w:t>
      </w:r>
      <w:r w:rsidRPr="00580014">
        <w:rPr>
          <w:rFonts w:ascii="Times New Roman" w:eastAsiaTheme="minorEastAsia" w:hAnsi="Times New Roman" w:cs="Times New Roman"/>
          <w:sz w:val="24"/>
          <w:szCs w:val="24"/>
        </w:rPr>
        <w:t xml:space="preserve"> treatment.  This is </w:t>
      </w:r>
      <w:r w:rsidR="007215D6" w:rsidRPr="00580014">
        <w:rPr>
          <w:rFonts w:ascii="Times New Roman" w:eastAsiaTheme="minorEastAsia" w:hAnsi="Times New Roman" w:cs="Times New Roman"/>
          <w:sz w:val="24"/>
          <w:szCs w:val="24"/>
        </w:rPr>
        <w:t>24.4</w:t>
      </w:r>
      <w:r w:rsidRPr="00580014">
        <w:rPr>
          <w:rFonts w:ascii="Times New Roman" w:eastAsiaTheme="minorEastAsia" w:hAnsi="Times New Roman" w:cs="Times New Roman"/>
          <w:sz w:val="24"/>
          <w:szCs w:val="24"/>
        </w:rPr>
        <w:t xml:space="preserve">% higher than the equilibrium offer of </w:t>
      </w:r>
      <w:r w:rsidR="007215D6" w:rsidRPr="00580014">
        <w:rPr>
          <w:rFonts w:ascii="Times New Roman" w:eastAsiaTheme="minorEastAsia" w:hAnsi="Times New Roman" w:cs="Times New Roman"/>
          <w:sz w:val="24"/>
          <w:szCs w:val="24"/>
        </w:rPr>
        <w:t>45</w:t>
      </w:r>
      <w:r w:rsidRPr="00580014">
        <w:rPr>
          <w:rFonts w:ascii="Times New Roman" w:eastAsiaTheme="minorEastAsia" w:hAnsi="Times New Roman" w:cs="Times New Roman"/>
          <w:sz w:val="24"/>
          <w:szCs w:val="24"/>
        </w:rPr>
        <w:t xml:space="preserve">, and a Wilcoxon sign rank test indicates </w:t>
      </w:r>
      <w:r w:rsidR="001C76A1" w:rsidRPr="00580014">
        <w:rPr>
          <w:rFonts w:ascii="Times New Roman" w:eastAsiaTheme="minorEastAsia" w:hAnsi="Times New Roman" w:cs="Times New Roman"/>
          <w:sz w:val="24"/>
          <w:szCs w:val="24"/>
        </w:rPr>
        <w:t xml:space="preserve">a statistical difference between average first offer and the equilibrium offer </w:t>
      </w:r>
      <w:r w:rsidRPr="00580014">
        <w:rPr>
          <w:rFonts w:ascii="Times New Roman" w:eastAsiaTheme="minorEastAsia" w:hAnsi="Times New Roman" w:cs="Times New Roman"/>
          <w:sz w:val="24"/>
          <w:szCs w:val="24"/>
        </w:rPr>
        <w:t>(</w:t>
      </w:r>
      <w:r w:rsidRPr="00580014">
        <w:rPr>
          <w:rFonts w:ascii="Times New Roman" w:eastAsiaTheme="minorEastAsia" w:hAnsi="Times New Roman" w:cs="Times New Roman"/>
          <w:i/>
          <w:sz w:val="24"/>
          <w:szCs w:val="24"/>
        </w:rPr>
        <w:t>p</w:t>
      </w:r>
      <w:r w:rsidRPr="00580014">
        <w:rPr>
          <w:rFonts w:ascii="Times New Roman" w:eastAsiaTheme="minorEastAsia" w:hAnsi="Times New Roman" w:cs="Times New Roman"/>
          <w:sz w:val="24"/>
          <w:szCs w:val="24"/>
        </w:rPr>
        <w:t xml:space="preserve"> &lt; 0.001).  Thus </w:t>
      </w:r>
      <w:r w:rsidR="007215D6" w:rsidRPr="00580014">
        <w:rPr>
          <w:rFonts w:ascii="Times New Roman" w:eastAsiaTheme="minorEastAsia" w:hAnsi="Times New Roman" w:cs="Times New Roman"/>
          <w:sz w:val="24"/>
          <w:szCs w:val="24"/>
        </w:rPr>
        <w:t>the</w:t>
      </w:r>
      <w:r w:rsidRPr="00580014">
        <w:rPr>
          <w:rFonts w:ascii="Times New Roman" w:eastAsiaTheme="minorEastAsia" w:hAnsi="Times New Roman" w:cs="Times New Roman"/>
          <w:sz w:val="24"/>
          <w:szCs w:val="24"/>
        </w:rPr>
        <w:t xml:space="preserve"> buyers did not fully exploit the strength of their bargaining position.  In fact, the first-period offers in the </w:t>
      </w:r>
      <w:r w:rsidRPr="00580014">
        <w:rPr>
          <w:rFonts w:ascii="Times New Roman" w:eastAsiaTheme="minorEastAsia" w:hAnsi="Times New Roman" w:cs="Times New Roman"/>
          <w:i/>
          <w:sz w:val="24"/>
          <w:szCs w:val="24"/>
        </w:rPr>
        <w:t>Eminent Domain</w:t>
      </w:r>
      <w:r w:rsidRPr="00580014">
        <w:rPr>
          <w:rFonts w:ascii="Times New Roman" w:eastAsiaTheme="minorEastAsia" w:hAnsi="Times New Roman" w:cs="Times New Roman"/>
          <w:sz w:val="24"/>
          <w:szCs w:val="24"/>
        </w:rPr>
        <w:t xml:space="preserve"> treatment were not statistically lower than those in the </w:t>
      </w:r>
      <w:r w:rsidRPr="00580014">
        <w:rPr>
          <w:rFonts w:ascii="Times New Roman" w:eastAsiaTheme="minorEastAsia" w:hAnsi="Times New Roman" w:cs="Times New Roman"/>
          <w:i/>
          <w:sz w:val="24"/>
          <w:szCs w:val="24"/>
        </w:rPr>
        <w:t>Baseline</w:t>
      </w:r>
      <w:r w:rsidRPr="00580014">
        <w:rPr>
          <w:rFonts w:ascii="Times New Roman" w:hAnsi="Times New Roman" w:cs="Times New Roman"/>
        </w:rPr>
        <w:t xml:space="preserve"> treatment (Mann-Whitney test, </w:t>
      </w:r>
      <w:r w:rsidRPr="00580014">
        <w:rPr>
          <w:rFonts w:ascii="Times New Roman" w:hAnsi="Times New Roman" w:cs="Times New Roman"/>
          <w:i/>
        </w:rPr>
        <w:t>p</w:t>
      </w:r>
      <w:r w:rsidRPr="00580014">
        <w:rPr>
          <w:rFonts w:ascii="Times New Roman" w:hAnsi="Times New Roman" w:cs="Times New Roman"/>
        </w:rPr>
        <w:t xml:space="preserve"> = 0.238).</w:t>
      </w:r>
    </w:p>
    <w:p w14:paraId="423364AE" w14:textId="77777777" w:rsidR="008D574E" w:rsidRPr="00580014" w:rsidRDefault="008D574E" w:rsidP="008D574E">
      <w:pPr>
        <w:spacing w:line="480" w:lineRule="auto"/>
        <w:rPr>
          <w:rFonts w:ascii="Times New Roman" w:hAnsi="Times New Roman" w:cs="Times New Roman"/>
          <w:i/>
          <w:sz w:val="24"/>
          <w:szCs w:val="24"/>
        </w:rPr>
      </w:pPr>
      <w:r w:rsidRPr="00580014">
        <w:rPr>
          <w:rFonts w:ascii="Times New Roman" w:hAnsi="Times New Roman" w:cs="Times New Roman"/>
          <w:i/>
          <w:sz w:val="24"/>
          <w:szCs w:val="24"/>
        </w:rPr>
        <w:t>B. Strategic holdout</w:t>
      </w:r>
    </w:p>
    <w:p w14:paraId="48AA361C" w14:textId="77777777" w:rsidR="00B31E08" w:rsidRPr="00580014" w:rsidRDefault="008D574E">
      <w:pPr>
        <w:spacing w:line="480" w:lineRule="auto"/>
        <w:jc w:val="both"/>
        <w:rPr>
          <w:rFonts w:ascii="Times New Roman" w:hAnsi="Times New Roman" w:cs="Times New Roman"/>
          <w:sz w:val="24"/>
          <w:szCs w:val="24"/>
        </w:rPr>
      </w:pPr>
      <w:r w:rsidRPr="00580014">
        <w:rPr>
          <w:rFonts w:ascii="Times New Roman" w:hAnsi="Times New Roman" w:cs="Times New Roman"/>
          <w:sz w:val="24"/>
          <w:szCs w:val="24"/>
        </w:rPr>
        <w:tab/>
        <w:t>To analyze strategic holdout</w:t>
      </w:r>
      <w:r w:rsidR="006B3F47" w:rsidRPr="00580014">
        <w:rPr>
          <w:rFonts w:ascii="Times New Roman" w:hAnsi="Times New Roman" w:cs="Times New Roman"/>
          <w:sz w:val="24"/>
          <w:szCs w:val="24"/>
        </w:rPr>
        <w:t>,</w:t>
      </w:r>
      <w:r w:rsidRPr="00580014">
        <w:rPr>
          <w:rFonts w:ascii="Times New Roman" w:hAnsi="Times New Roman" w:cs="Times New Roman"/>
          <w:sz w:val="24"/>
          <w:szCs w:val="24"/>
        </w:rPr>
        <w:t xml:space="preserve"> we found the highest offer that a seller rejected in a round and subtracted her input value from it.  Where this normalized highest rejected offer is greater than zero we consider the seller to have withheld her input strategically.  The cumulative distributions of the normalized highest rejected offers are shown in Figure 2.  A vertical line at the value of zero separates the shares of each distribution that represent strategic rejections</w:t>
      </w:r>
      <w:r w:rsidR="00096112" w:rsidRPr="00580014">
        <w:rPr>
          <w:rFonts w:ascii="Times New Roman" w:hAnsi="Times New Roman" w:cs="Times New Roman"/>
          <w:sz w:val="24"/>
          <w:szCs w:val="24"/>
        </w:rPr>
        <w:t xml:space="preserve"> from sincere rejections</w:t>
      </w:r>
      <w:r w:rsidRPr="00580014">
        <w:rPr>
          <w:rFonts w:ascii="Times New Roman" w:hAnsi="Times New Roman" w:cs="Times New Roman"/>
          <w:sz w:val="24"/>
          <w:szCs w:val="24"/>
        </w:rPr>
        <w:t>.</w:t>
      </w:r>
    </w:p>
    <w:p w14:paraId="44EAB447" w14:textId="77777777" w:rsidR="001072BC" w:rsidRPr="00580014" w:rsidRDefault="001072BC" w:rsidP="001072BC">
      <w:pPr>
        <w:spacing w:line="480" w:lineRule="auto"/>
        <w:jc w:val="center"/>
        <w:rPr>
          <w:rFonts w:ascii="Times New Roman" w:hAnsi="Times New Roman" w:cs="Times New Roman"/>
          <w:b/>
          <w:sz w:val="24"/>
          <w:szCs w:val="24"/>
        </w:rPr>
      </w:pPr>
      <w:r w:rsidRPr="00580014">
        <w:rPr>
          <w:rFonts w:ascii="Times New Roman" w:hAnsi="Times New Roman" w:cs="Times New Roman"/>
          <w:b/>
          <w:sz w:val="24"/>
          <w:szCs w:val="24"/>
        </w:rPr>
        <w:t>[Figure 2 Here]</w:t>
      </w:r>
    </w:p>
    <w:p w14:paraId="7B12D50A" w14:textId="33ABDE0B" w:rsidR="00B31E08" w:rsidRPr="00580014" w:rsidRDefault="008D574E">
      <w:pPr>
        <w:spacing w:line="480" w:lineRule="auto"/>
        <w:jc w:val="both"/>
        <w:rPr>
          <w:rFonts w:ascii="Times New Roman" w:hAnsi="Times New Roman" w:cs="Times New Roman"/>
          <w:sz w:val="24"/>
          <w:szCs w:val="24"/>
        </w:rPr>
      </w:pPr>
      <w:r w:rsidRPr="00580014">
        <w:rPr>
          <w:rFonts w:ascii="Times New Roman" w:hAnsi="Times New Roman" w:cs="Times New Roman"/>
          <w:sz w:val="24"/>
          <w:szCs w:val="24"/>
        </w:rPr>
        <w:tab/>
        <w:t xml:space="preserve">Holdout was not very common in any of the treatments, although it occurred most frequently in the </w:t>
      </w:r>
      <w:r w:rsidRPr="00580014">
        <w:rPr>
          <w:rFonts w:ascii="Times New Roman" w:hAnsi="Times New Roman" w:cs="Times New Roman"/>
          <w:i/>
          <w:sz w:val="24"/>
          <w:szCs w:val="24"/>
        </w:rPr>
        <w:t>Baseline</w:t>
      </w:r>
      <w:r w:rsidRPr="00580014">
        <w:rPr>
          <w:rFonts w:ascii="Times New Roman" w:hAnsi="Times New Roman" w:cs="Times New Roman"/>
          <w:sz w:val="24"/>
          <w:szCs w:val="24"/>
        </w:rPr>
        <w:t xml:space="preserve"> treatment.  Sellers in the </w:t>
      </w:r>
      <w:r w:rsidRPr="00580014">
        <w:rPr>
          <w:rFonts w:ascii="Times New Roman" w:hAnsi="Times New Roman" w:cs="Times New Roman"/>
          <w:i/>
          <w:sz w:val="24"/>
          <w:szCs w:val="24"/>
        </w:rPr>
        <w:t>Baseline</w:t>
      </w:r>
      <w:r w:rsidRPr="00580014">
        <w:rPr>
          <w:rFonts w:ascii="Times New Roman" w:hAnsi="Times New Roman" w:cs="Times New Roman"/>
          <w:sz w:val="24"/>
          <w:szCs w:val="24"/>
        </w:rPr>
        <w:t xml:space="preserve"> strategically rejected the buyer’s offer in 22.6% of cases.  Notice that this is substantially less than the percentage of buyers in the same treatment who made offers that were lower than the equilibrium.  </w:t>
      </w:r>
      <w:r w:rsidR="001C76A1" w:rsidRPr="00580014">
        <w:rPr>
          <w:rFonts w:ascii="Times New Roman" w:hAnsi="Times New Roman" w:cs="Times New Roman"/>
          <w:sz w:val="24"/>
          <w:szCs w:val="24"/>
        </w:rPr>
        <w:t xml:space="preserve">Sixty percent </w:t>
      </w:r>
      <w:r w:rsidRPr="00580014">
        <w:rPr>
          <w:rFonts w:ascii="Times New Roman" w:hAnsi="Times New Roman" w:cs="Times New Roman"/>
          <w:sz w:val="24"/>
          <w:szCs w:val="24"/>
        </w:rPr>
        <w:t xml:space="preserve">of </w:t>
      </w:r>
      <w:r w:rsidR="006B3F47" w:rsidRPr="00580014">
        <w:rPr>
          <w:rFonts w:ascii="Times New Roman" w:hAnsi="Times New Roman" w:cs="Times New Roman"/>
          <w:sz w:val="24"/>
          <w:szCs w:val="24"/>
        </w:rPr>
        <w:t>the buyers</w:t>
      </w:r>
      <w:r w:rsidR="00640D4E">
        <w:rPr>
          <w:rFonts w:ascii="Times New Roman" w:hAnsi="Times New Roman" w:cs="Times New Roman"/>
          <w:sz w:val="24"/>
          <w:szCs w:val="24"/>
        </w:rPr>
        <w:t>’</w:t>
      </w:r>
      <w:r w:rsidR="006B3F47" w:rsidRPr="00580014">
        <w:rPr>
          <w:rFonts w:ascii="Times New Roman" w:hAnsi="Times New Roman" w:cs="Times New Roman"/>
          <w:sz w:val="24"/>
          <w:szCs w:val="24"/>
        </w:rPr>
        <w:t xml:space="preserve"> </w:t>
      </w:r>
      <w:r w:rsidRPr="00580014">
        <w:rPr>
          <w:rFonts w:ascii="Times New Roman" w:hAnsi="Times New Roman" w:cs="Times New Roman"/>
          <w:sz w:val="24"/>
          <w:szCs w:val="24"/>
        </w:rPr>
        <w:t>final offers were below equilibrium.  If we consider these low offers to be buyer holdout, then holdout was 2.7 times as common among buyers as it was among sellers.  Buyers also tended to hold out for larger amounts than the sellers</w:t>
      </w:r>
      <w:r w:rsidR="00ED07E5" w:rsidRPr="00580014">
        <w:rPr>
          <w:rFonts w:ascii="Times New Roman" w:hAnsi="Times New Roman" w:cs="Times New Roman"/>
          <w:sz w:val="24"/>
          <w:szCs w:val="24"/>
        </w:rPr>
        <w:t xml:space="preserve"> in the </w:t>
      </w:r>
      <w:r w:rsidR="00ED07E5" w:rsidRPr="00580014">
        <w:rPr>
          <w:rFonts w:ascii="Times New Roman" w:hAnsi="Times New Roman" w:cs="Times New Roman"/>
          <w:i/>
          <w:sz w:val="24"/>
          <w:szCs w:val="24"/>
        </w:rPr>
        <w:t>Baseline</w:t>
      </w:r>
      <w:r w:rsidRPr="00580014">
        <w:rPr>
          <w:rFonts w:ascii="Times New Roman" w:hAnsi="Times New Roman" w:cs="Times New Roman"/>
          <w:sz w:val="24"/>
          <w:szCs w:val="24"/>
        </w:rPr>
        <w:t xml:space="preserve">.  In the cases where sellers strategically rejected the average difference between the offer and their values was 8.4 points.  In the </w:t>
      </w:r>
      <w:r w:rsidR="006B3F47" w:rsidRPr="00580014">
        <w:rPr>
          <w:rFonts w:ascii="Times New Roman" w:hAnsi="Times New Roman" w:cs="Times New Roman"/>
          <w:sz w:val="24"/>
          <w:szCs w:val="24"/>
        </w:rPr>
        <w:t xml:space="preserve">buyer’s </w:t>
      </w:r>
      <w:r w:rsidRPr="00580014">
        <w:rPr>
          <w:rFonts w:ascii="Times New Roman" w:hAnsi="Times New Roman" w:cs="Times New Roman"/>
          <w:sz w:val="24"/>
          <w:szCs w:val="24"/>
        </w:rPr>
        <w:t xml:space="preserve">final offers that were below equilibrium the average difference was 15.3 points.  </w:t>
      </w:r>
      <w:r w:rsidR="006B3F47" w:rsidRPr="00580014">
        <w:rPr>
          <w:rFonts w:ascii="Times New Roman" w:hAnsi="Times New Roman" w:cs="Times New Roman"/>
          <w:sz w:val="24"/>
          <w:szCs w:val="24"/>
        </w:rPr>
        <w:t xml:space="preserve">Our findings </w:t>
      </w:r>
      <w:r w:rsidR="001730B1" w:rsidRPr="00580014">
        <w:rPr>
          <w:rFonts w:ascii="Times New Roman" w:hAnsi="Times New Roman" w:cs="Times New Roman"/>
          <w:sz w:val="24"/>
          <w:szCs w:val="24"/>
        </w:rPr>
        <w:t>run</w:t>
      </w:r>
      <w:r w:rsidR="006B3F47" w:rsidRPr="00580014">
        <w:rPr>
          <w:rFonts w:ascii="Times New Roman" w:hAnsi="Times New Roman" w:cs="Times New Roman"/>
          <w:sz w:val="24"/>
          <w:szCs w:val="24"/>
        </w:rPr>
        <w:t xml:space="preserve"> </w:t>
      </w:r>
      <w:r w:rsidRPr="00580014">
        <w:rPr>
          <w:rFonts w:ascii="Times New Roman" w:hAnsi="Times New Roman" w:cs="Times New Roman"/>
          <w:sz w:val="24"/>
          <w:szCs w:val="24"/>
        </w:rPr>
        <w:t xml:space="preserve">counter to the conventional wisdom that sellers are </w:t>
      </w:r>
      <w:r w:rsidR="00806E71" w:rsidRPr="00580014">
        <w:rPr>
          <w:rFonts w:ascii="Times New Roman" w:hAnsi="Times New Roman" w:cs="Times New Roman"/>
          <w:sz w:val="24"/>
          <w:szCs w:val="24"/>
        </w:rPr>
        <w:t xml:space="preserve">primarily </w:t>
      </w:r>
      <w:r w:rsidRPr="00580014">
        <w:rPr>
          <w:rFonts w:ascii="Times New Roman" w:hAnsi="Times New Roman" w:cs="Times New Roman"/>
          <w:sz w:val="24"/>
          <w:szCs w:val="24"/>
        </w:rPr>
        <w:t xml:space="preserve">responsible for the difficulties of land assembly.  </w:t>
      </w:r>
    </w:p>
    <w:p w14:paraId="1C83EB41" w14:textId="77777777" w:rsidR="00B31E08" w:rsidRPr="00580014" w:rsidRDefault="008D574E">
      <w:pPr>
        <w:spacing w:line="480" w:lineRule="auto"/>
        <w:jc w:val="both"/>
        <w:rPr>
          <w:rFonts w:ascii="Times New Roman" w:hAnsi="Times New Roman" w:cs="Times New Roman"/>
          <w:sz w:val="24"/>
          <w:szCs w:val="24"/>
        </w:rPr>
      </w:pPr>
      <w:r w:rsidRPr="00580014">
        <w:rPr>
          <w:rFonts w:ascii="Times New Roman" w:hAnsi="Times New Roman" w:cs="Times New Roman"/>
          <w:sz w:val="24"/>
          <w:szCs w:val="24"/>
        </w:rPr>
        <w:tab/>
        <w:t>When they were facing a competitor the primary sellers strategically rejected far fewer offers, but held out for higher amounts when they did reject them.  In 6.7% of cases</w:t>
      </w:r>
      <w:r w:rsidR="006B3F47" w:rsidRPr="00580014">
        <w:rPr>
          <w:rFonts w:ascii="Times New Roman" w:hAnsi="Times New Roman" w:cs="Times New Roman"/>
          <w:sz w:val="24"/>
          <w:szCs w:val="24"/>
        </w:rPr>
        <w:t>,</w:t>
      </w:r>
      <w:r w:rsidRPr="00580014">
        <w:rPr>
          <w:rFonts w:ascii="Times New Roman" w:hAnsi="Times New Roman" w:cs="Times New Roman"/>
          <w:sz w:val="24"/>
          <w:szCs w:val="24"/>
        </w:rPr>
        <w:t xml:space="preserve"> a primary seller’s highest rejected offer exceeded her value, a 70.4% reduction compared to the </w:t>
      </w:r>
      <w:r w:rsidRPr="00580014">
        <w:rPr>
          <w:rFonts w:ascii="Times New Roman" w:hAnsi="Times New Roman" w:cs="Times New Roman"/>
          <w:i/>
          <w:sz w:val="24"/>
          <w:szCs w:val="24"/>
        </w:rPr>
        <w:t>Baseline</w:t>
      </w:r>
      <w:r w:rsidRPr="00580014">
        <w:rPr>
          <w:rFonts w:ascii="Times New Roman" w:hAnsi="Times New Roman" w:cs="Times New Roman"/>
          <w:sz w:val="24"/>
          <w:szCs w:val="24"/>
        </w:rPr>
        <w:t xml:space="preserve">.  A chi-square analysis confirms that holdout was statistically less frequent in the </w:t>
      </w:r>
      <w:r w:rsidRPr="00580014">
        <w:rPr>
          <w:rFonts w:ascii="Times New Roman" w:hAnsi="Times New Roman" w:cs="Times New Roman"/>
          <w:i/>
          <w:sz w:val="24"/>
          <w:szCs w:val="24"/>
        </w:rPr>
        <w:t>Competition</w:t>
      </w:r>
      <w:r w:rsidRPr="00580014">
        <w:rPr>
          <w:rFonts w:ascii="Times New Roman" w:hAnsi="Times New Roman" w:cs="Times New Roman"/>
          <w:sz w:val="24"/>
          <w:szCs w:val="24"/>
        </w:rPr>
        <w:t xml:space="preserve"> treatment </w:t>
      </w:r>
      <w:r w:rsidR="00C25E03" w:rsidRPr="00580014">
        <w:rPr>
          <w:rFonts w:ascii="Times New Roman" w:hAnsi="Times New Roman" w:cs="Times New Roman"/>
          <w:sz w:val="24"/>
          <w:szCs w:val="24"/>
        </w:rPr>
        <w:t xml:space="preserve">compared to the </w:t>
      </w:r>
      <w:r w:rsidR="00C25E03" w:rsidRPr="00580014">
        <w:rPr>
          <w:rFonts w:ascii="Times New Roman" w:hAnsi="Times New Roman" w:cs="Times New Roman"/>
          <w:i/>
          <w:sz w:val="24"/>
          <w:szCs w:val="24"/>
        </w:rPr>
        <w:t>Baseline</w:t>
      </w:r>
      <w:r w:rsidR="00C25E03" w:rsidRPr="00580014">
        <w:rPr>
          <w:rFonts w:ascii="Times New Roman" w:hAnsi="Times New Roman" w:cs="Times New Roman"/>
          <w:sz w:val="24"/>
          <w:szCs w:val="24"/>
        </w:rPr>
        <w:t xml:space="preserve"> treatment </w:t>
      </w:r>
      <w:r w:rsidRPr="00580014">
        <w:rPr>
          <w:rFonts w:ascii="Times New Roman" w:hAnsi="Times New Roman" w:cs="Times New Roman"/>
          <w:sz w:val="24"/>
          <w:szCs w:val="24"/>
        </w:rPr>
        <w:t>(</w:t>
      </w:r>
      <w:r w:rsidRPr="00580014">
        <w:rPr>
          <w:rFonts w:ascii="Times New Roman" w:hAnsi="Times New Roman" w:cs="Times New Roman"/>
          <w:i/>
          <w:sz w:val="24"/>
          <w:szCs w:val="24"/>
        </w:rPr>
        <w:t>p</w:t>
      </w:r>
      <w:r w:rsidRPr="00580014">
        <w:rPr>
          <w:rFonts w:ascii="Times New Roman" w:hAnsi="Times New Roman" w:cs="Times New Roman"/>
          <w:sz w:val="24"/>
          <w:szCs w:val="24"/>
        </w:rPr>
        <w:t xml:space="preserve"> = 0.013).  Th</w:t>
      </w:r>
      <w:r w:rsidR="00806E71" w:rsidRPr="00580014">
        <w:rPr>
          <w:rFonts w:ascii="Times New Roman" w:hAnsi="Times New Roman" w:cs="Times New Roman"/>
          <w:sz w:val="24"/>
          <w:szCs w:val="24"/>
        </w:rPr>
        <w:t>is</w:t>
      </w:r>
      <w:r w:rsidRPr="00580014">
        <w:rPr>
          <w:rFonts w:ascii="Times New Roman" w:hAnsi="Times New Roman" w:cs="Times New Roman"/>
          <w:sz w:val="24"/>
          <w:szCs w:val="24"/>
        </w:rPr>
        <w:t xml:space="preserve"> reduction in strategic holdout is especially impressive when compared to </w:t>
      </w:r>
      <w:r w:rsidR="00806E71" w:rsidRPr="00580014">
        <w:rPr>
          <w:rFonts w:ascii="Times New Roman" w:hAnsi="Times New Roman" w:cs="Times New Roman"/>
          <w:sz w:val="24"/>
          <w:szCs w:val="24"/>
        </w:rPr>
        <w:t>the</w:t>
      </w:r>
      <w:r w:rsidRPr="00580014">
        <w:rPr>
          <w:rFonts w:ascii="Times New Roman" w:hAnsi="Times New Roman" w:cs="Times New Roman"/>
          <w:sz w:val="24"/>
          <w:szCs w:val="24"/>
        </w:rPr>
        <w:t xml:space="preserve"> </w:t>
      </w:r>
      <w:r w:rsidR="00806E71" w:rsidRPr="00580014">
        <w:rPr>
          <w:rFonts w:ascii="Times New Roman" w:hAnsi="Times New Roman" w:cs="Times New Roman"/>
          <w:i/>
          <w:sz w:val="24"/>
          <w:szCs w:val="24"/>
        </w:rPr>
        <w:t>E</w:t>
      </w:r>
      <w:r w:rsidR="006D2A69" w:rsidRPr="00580014">
        <w:rPr>
          <w:rFonts w:ascii="Times New Roman" w:hAnsi="Times New Roman" w:cs="Times New Roman"/>
          <w:i/>
          <w:sz w:val="24"/>
          <w:szCs w:val="24"/>
        </w:rPr>
        <w:t xml:space="preserve">minent </w:t>
      </w:r>
      <w:r w:rsidR="00806E71" w:rsidRPr="00580014">
        <w:rPr>
          <w:rFonts w:ascii="Times New Roman" w:hAnsi="Times New Roman" w:cs="Times New Roman"/>
          <w:i/>
          <w:sz w:val="24"/>
          <w:szCs w:val="24"/>
        </w:rPr>
        <w:t>D</w:t>
      </w:r>
      <w:r w:rsidR="006D2A69" w:rsidRPr="00580014">
        <w:rPr>
          <w:rFonts w:ascii="Times New Roman" w:hAnsi="Times New Roman" w:cs="Times New Roman"/>
          <w:i/>
          <w:sz w:val="24"/>
          <w:szCs w:val="24"/>
        </w:rPr>
        <w:t>omain</w:t>
      </w:r>
      <w:r w:rsidR="00806E71" w:rsidRPr="00580014">
        <w:rPr>
          <w:rFonts w:ascii="Times New Roman" w:hAnsi="Times New Roman" w:cs="Times New Roman"/>
          <w:sz w:val="24"/>
          <w:szCs w:val="24"/>
        </w:rPr>
        <w:t xml:space="preserve"> treatment</w:t>
      </w:r>
      <w:r w:rsidRPr="00580014">
        <w:rPr>
          <w:rFonts w:ascii="Times New Roman" w:hAnsi="Times New Roman" w:cs="Times New Roman"/>
          <w:sz w:val="24"/>
          <w:szCs w:val="24"/>
        </w:rPr>
        <w:t xml:space="preserve">.  </w:t>
      </w:r>
      <w:r w:rsidR="00806E71" w:rsidRPr="00580014">
        <w:rPr>
          <w:rFonts w:ascii="Times New Roman" w:hAnsi="Times New Roman" w:cs="Times New Roman"/>
          <w:sz w:val="24"/>
          <w:szCs w:val="24"/>
        </w:rPr>
        <w:t xml:space="preserve">Sellers in </w:t>
      </w:r>
      <w:r w:rsidR="00F1665F" w:rsidRPr="00580014">
        <w:rPr>
          <w:rFonts w:ascii="Times New Roman" w:hAnsi="Times New Roman" w:cs="Times New Roman"/>
          <w:sz w:val="24"/>
          <w:szCs w:val="24"/>
        </w:rPr>
        <w:t xml:space="preserve">the </w:t>
      </w:r>
      <w:r w:rsidR="00F1665F" w:rsidRPr="00580014">
        <w:rPr>
          <w:rFonts w:ascii="Times New Roman" w:hAnsi="Times New Roman" w:cs="Times New Roman"/>
          <w:i/>
          <w:sz w:val="24"/>
          <w:szCs w:val="24"/>
        </w:rPr>
        <w:t>Eminent Domain</w:t>
      </w:r>
      <w:r w:rsidR="00F1665F" w:rsidRPr="00580014">
        <w:rPr>
          <w:rFonts w:ascii="Times New Roman" w:hAnsi="Times New Roman" w:cs="Times New Roman"/>
          <w:sz w:val="24"/>
          <w:szCs w:val="24"/>
        </w:rPr>
        <w:t xml:space="preserve"> treatment </w:t>
      </w:r>
      <w:r w:rsidR="00806E71" w:rsidRPr="00580014">
        <w:rPr>
          <w:rFonts w:ascii="Times New Roman" w:hAnsi="Times New Roman" w:cs="Times New Roman"/>
          <w:sz w:val="24"/>
          <w:szCs w:val="24"/>
        </w:rPr>
        <w:t>rejected profitable offers in 4.3%</w:t>
      </w:r>
      <w:r w:rsidRPr="00580014">
        <w:rPr>
          <w:rFonts w:ascii="Times New Roman" w:hAnsi="Times New Roman" w:cs="Times New Roman"/>
          <w:sz w:val="24"/>
          <w:szCs w:val="24"/>
        </w:rPr>
        <w:t xml:space="preserve"> </w:t>
      </w:r>
      <w:r w:rsidR="00806E71" w:rsidRPr="00580014">
        <w:rPr>
          <w:rFonts w:ascii="Times New Roman" w:hAnsi="Times New Roman" w:cs="Times New Roman"/>
          <w:sz w:val="24"/>
          <w:szCs w:val="24"/>
        </w:rPr>
        <w:t>of cases</w:t>
      </w:r>
      <w:r w:rsidRPr="00580014">
        <w:rPr>
          <w:rFonts w:ascii="Times New Roman" w:hAnsi="Times New Roman" w:cs="Times New Roman"/>
          <w:sz w:val="24"/>
          <w:szCs w:val="24"/>
        </w:rPr>
        <w:t xml:space="preserve">.  </w:t>
      </w:r>
      <w:r w:rsidR="006142C7" w:rsidRPr="00580014">
        <w:rPr>
          <w:rFonts w:ascii="Times New Roman" w:hAnsi="Times New Roman" w:cs="Times New Roman"/>
          <w:sz w:val="24"/>
          <w:szCs w:val="24"/>
        </w:rPr>
        <w:t>A c</w:t>
      </w:r>
      <w:r w:rsidR="00806E71" w:rsidRPr="00580014">
        <w:rPr>
          <w:rFonts w:ascii="Times New Roman" w:hAnsi="Times New Roman" w:cs="Times New Roman"/>
          <w:sz w:val="24"/>
          <w:szCs w:val="24"/>
        </w:rPr>
        <w:t>hi-square test shows that</w:t>
      </w:r>
      <w:r w:rsidRPr="00580014">
        <w:rPr>
          <w:rFonts w:ascii="Times New Roman" w:hAnsi="Times New Roman" w:cs="Times New Roman"/>
          <w:sz w:val="24"/>
          <w:szCs w:val="24"/>
        </w:rPr>
        <w:t xml:space="preserve"> the holdout rate</w:t>
      </w:r>
      <w:r w:rsidR="002A1BAA" w:rsidRPr="00580014">
        <w:rPr>
          <w:rFonts w:ascii="Times New Roman" w:hAnsi="Times New Roman" w:cs="Times New Roman"/>
          <w:sz w:val="24"/>
          <w:szCs w:val="24"/>
        </w:rPr>
        <w:t>s</w:t>
      </w:r>
      <w:r w:rsidRPr="00580014">
        <w:rPr>
          <w:rFonts w:ascii="Times New Roman" w:hAnsi="Times New Roman" w:cs="Times New Roman"/>
          <w:sz w:val="24"/>
          <w:szCs w:val="24"/>
        </w:rPr>
        <w:t xml:space="preserve"> </w:t>
      </w:r>
      <w:r w:rsidR="00806E71" w:rsidRPr="00580014">
        <w:rPr>
          <w:rFonts w:ascii="Times New Roman" w:hAnsi="Times New Roman" w:cs="Times New Roman"/>
          <w:sz w:val="24"/>
          <w:szCs w:val="24"/>
        </w:rPr>
        <w:t xml:space="preserve">are statistically indistinguishable </w:t>
      </w:r>
      <w:r w:rsidR="00FA7991" w:rsidRPr="00580014">
        <w:rPr>
          <w:rFonts w:ascii="Times New Roman" w:hAnsi="Times New Roman" w:cs="Times New Roman"/>
          <w:sz w:val="24"/>
          <w:szCs w:val="24"/>
        </w:rPr>
        <w:t>between</w:t>
      </w:r>
      <w:r w:rsidR="00806E71" w:rsidRPr="00580014">
        <w:rPr>
          <w:rFonts w:ascii="Times New Roman" w:hAnsi="Times New Roman" w:cs="Times New Roman"/>
          <w:sz w:val="24"/>
          <w:szCs w:val="24"/>
        </w:rPr>
        <w:t xml:space="preserve"> </w:t>
      </w:r>
      <w:r w:rsidRPr="00580014">
        <w:rPr>
          <w:rFonts w:ascii="Times New Roman" w:hAnsi="Times New Roman" w:cs="Times New Roman"/>
          <w:sz w:val="24"/>
          <w:szCs w:val="24"/>
        </w:rPr>
        <w:t>the</w:t>
      </w:r>
      <w:r w:rsidR="002A1BAA" w:rsidRPr="00580014">
        <w:rPr>
          <w:rFonts w:ascii="Times New Roman" w:hAnsi="Times New Roman" w:cs="Times New Roman"/>
          <w:sz w:val="24"/>
          <w:szCs w:val="24"/>
        </w:rPr>
        <w:t xml:space="preserve"> </w:t>
      </w:r>
      <w:r w:rsidR="006D2A69" w:rsidRPr="00580014">
        <w:rPr>
          <w:rFonts w:ascii="Times New Roman" w:hAnsi="Times New Roman" w:cs="Times New Roman"/>
          <w:i/>
          <w:sz w:val="24"/>
          <w:szCs w:val="24"/>
        </w:rPr>
        <w:t>Eminent Domain</w:t>
      </w:r>
      <w:r w:rsidR="002A1BAA" w:rsidRPr="00580014">
        <w:rPr>
          <w:rFonts w:ascii="Times New Roman" w:hAnsi="Times New Roman" w:cs="Times New Roman"/>
          <w:sz w:val="24"/>
          <w:szCs w:val="24"/>
        </w:rPr>
        <w:t xml:space="preserve"> and</w:t>
      </w:r>
      <w:r w:rsidRPr="00580014">
        <w:rPr>
          <w:rFonts w:ascii="Times New Roman" w:hAnsi="Times New Roman" w:cs="Times New Roman"/>
          <w:sz w:val="24"/>
          <w:szCs w:val="24"/>
        </w:rPr>
        <w:t xml:space="preserve"> </w:t>
      </w:r>
      <w:r w:rsidRPr="00580014">
        <w:rPr>
          <w:rFonts w:ascii="Times New Roman" w:hAnsi="Times New Roman" w:cs="Times New Roman"/>
          <w:i/>
          <w:sz w:val="24"/>
          <w:szCs w:val="24"/>
        </w:rPr>
        <w:t>Competition</w:t>
      </w:r>
      <w:r w:rsidRPr="00580014">
        <w:rPr>
          <w:rFonts w:ascii="Times New Roman" w:hAnsi="Times New Roman" w:cs="Times New Roman"/>
          <w:sz w:val="24"/>
          <w:szCs w:val="24"/>
        </w:rPr>
        <w:t xml:space="preserve"> treatment</w:t>
      </w:r>
      <w:r w:rsidR="002A1BAA" w:rsidRPr="00580014">
        <w:rPr>
          <w:rFonts w:ascii="Times New Roman" w:hAnsi="Times New Roman" w:cs="Times New Roman"/>
          <w:sz w:val="24"/>
          <w:szCs w:val="24"/>
        </w:rPr>
        <w:t>s</w:t>
      </w:r>
      <w:r w:rsidRPr="00580014">
        <w:rPr>
          <w:rFonts w:ascii="Times New Roman" w:hAnsi="Times New Roman" w:cs="Times New Roman"/>
          <w:sz w:val="24"/>
          <w:szCs w:val="24"/>
        </w:rPr>
        <w:t xml:space="preserve"> (</w:t>
      </w:r>
      <w:r w:rsidRPr="00580014">
        <w:rPr>
          <w:rFonts w:ascii="Times New Roman" w:hAnsi="Times New Roman" w:cs="Times New Roman"/>
          <w:i/>
          <w:sz w:val="24"/>
          <w:szCs w:val="24"/>
        </w:rPr>
        <w:t>p</w:t>
      </w:r>
      <w:r w:rsidRPr="00580014">
        <w:rPr>
          <w:rFonts w:ascii="Times New Roman" w:hAnsi="Times New Roman" w:cs="Times New Roman"/>
          <w:sz w:val="24"/>
          <w:szCs w:val="24"/>
        </w:rPr>
        <w:t xml:space="preserve"> = 0.609).  That is, introducing a weak form of competition was as effective at discouraging seller holdout as </w:t>
      </w:r>
      <w:r w:rsidR="006B3F47" w:rsidRPr="00580014">
        <w:rPr>
          <w:rFonts w:ascii="Times New Roman" w:hAnsi="Times New Roman" w:cs="Times New Roman"/>
          <w:sz w:val="24"/>
          <w:szCs w:val="24"/>
        </w:rPr>
        <w:t xml:space="preserve">was </w:t>
      </w:r>
      <w:r w:rsidRPr="00580014">
        <w:rPr>
          <w:rFonts w:ascii="Times New Roman" w:hAnsi="Times New Roman" w:cs="Times New Roman"/>
          <w:sz w:val="24"/>
          <w:szCs w:val="24"/>
        </w:rPr>
        <w:t>eminent domain.</w:t>
      </w:r>
    </w:p>
    <w:p w14:paraId="0BE4D197" w14:textId="77777777" w:rsidR="00B31E08" w:rsidRPr="00580014" w:rsidRDefault="008D574E">
      <w:pPr>
        <w:spacing w:line="480" w:lineRule="auto"/>
        <w:ind w:firstLine="720"/>
        <w:jc w:val="both"/>
        <w:rPr>
          <w:rFonts w:ascii="Times New Roman" w:hAnsi="Times New Roman" w:cs="Times New Roman"/>
          <w:sz w:val="24"/>
          <w:szCs w:val="24"/>
        </w:rPr>
      </w:pPr>
      <w:r w:rsidRPr="00580014">
        <w:rPr>
          <w:rFonts w:ascii="Times New Roman" w:hAnsi="Times New Roman" w:cs="Times New Roman"/>
          <w:sz w:val="24"/>
          <w:szCs w:val="24"/>
        </w:rPr>
        <w:t>On average, the strategically rejected offers were 23.8 points</w:t>
      </w:r>
      <w:r w:rsidR="00A44C06" w:rsidRPr="00580014">
        <w:rPr>
          <w:rFonts w:ascii="Times New Roman" w:hAnsi="Times New Roman" w:cs="Times New Roman"/>
          <w:sz w:val="24"/>
          <w:szCs w:val="24"/>
        </w:rPr>
        <w:t xml:space="preserve"> above the seller’s value</w:t>
      </w:r>
      <w:r w:rsidRPr="00580014">
        <w:rPr>
          <w:rFonts w:ascii="Times New Roman" w:hAnsi="Times New Roman" w:cs="Times New Roman"/>
          <w:sz w:val="24"/>
          <w:szCs w:val="24"/>
        </w:rPr>
        <w:t xml:space="preserve"> in the </w:t>
      </w:r>
      <w:r w:rsidRPr="00580014">
        <w:rPr>
          <w:rFonts w:ascii="Times New Roman" w:hAnsi="Times New Roman" w:cs="Times New Roman"/>
          <w:i/>
          <w:sz w:val="24"/>
          <w:szCs w:val="24"/>
        </w:rPr>
        <w:t>Competition</w:t>
      </w:r>
      <w:r w:rsidRPr="00580014">
        <w:rPr>
          <w:rFonts w:ascii="Times New Roman" w:hAnsi="Times New Roman" w:cs="Times New Roman"/>
          <w:sz w:val="24"/>
          <w:szCs w:val="24"/>
        </w:rPr>
        <w:t xml:space="preserve"> treatment.  This is almost three times as large as the average holdout in the </w:t>
      </w:r>
      <w:r w:rsidRPr="00580014">
        <w:rPr>
          <w:rFonts w:ascii="Times New Roman" w:hAnsi="Times New Roman" w:cs="Times New Roman"/>
          <w:i/>
          <w:sz w:val="24"/>
          <w:szCs w:val="24"/>
        </w:rPr>
        <w:t>Baseline</w:t>
      </w:r>
      <w:r w:rsidRPr="00580014">
        <w:rPr>
          <w:rFonts w:ascii="Times New Roman" w:hAnsi="Times New Roman" w:cs="Times New Roman"/>
          <w:sz w:val="24"/>
          <w:szCs w:val="24"/>
        </w:rPr>
        <w:t>.  The difference is only marginally stati</w:t>
      </w:r>
      <w:r w:rsidR="006B3F47" w:rsidRPr="00580014">
        <w:rPr>
          <w:rFonts w:ascii="Times New Roman" w:hAnsi="Times New Roman" w:cs="Times New Roman"/>
          <w:sz w:val="24"/>
          <w:szCs w:val="24"/>
        </w:rPr>
        <w:t>stically significant (Mann-Whit</w:t>
      </w:r>
      <w:r w:rsidRPr="00580014">
        <w:rPr>
          <w:rFonts w:ascii="Times New Roman" w:hAnsi="Times New Roman" w:cs="Times New Roman"/>
          <w:sz w:val="24"/>
          <w:szCs w:val="24"/>
        </w:rPr>
        <w:t>n</w:t>
      </w:r>
      <w:r w:rsidR="006B3F47" w:rsidRPr="00580014">
        <w:rPr>
          <w:rFonts w:ascii="Times New Roman" w:hAnsi="Times New Roman" w:cs="Times New Roman"/>
          <w:sz w:val="24"/>
          <w:szCs w:val="24"/>
        </w:rPr>
        <w:t>e</w:t>
      </w:r>
      <w:r w:rsidRPr="00580014">
        <w:rPr>
          <w:rFonts w:ascii="Times New Roman" w:hAnsi="Times New Roman" w:cs="Times New Roman"/>
          <w:sz w:val="24"/>
          <w:szCs w:val="24"/>
        </w:rPr>
        <w:t xml:space="preserve">y, </w:t>
      </w:r>
      <w:r w:rsidRPr="00580014">
        <w:rPr>
          <w:rFonts w:ascii="Times New Roman" w:hAnsi="Times New Roman" w:cs="Times New Roman"/>
          <w:i/>
          <w:sz w:val="24"/>
          <w:szCs w:val="24"/>
        </w:rPr>
        <w:t>p</w:t>
      </w:r>
      <w:r w:rsidRPr="00580014">
        <w:rPr>
          <w:rFonts w:ascii="Times New Roman" w:hAnsi="Times New Roman" w:cs="Times New Roman"/>
          <w:sz w:val="24"/>
          <w:szCs w:val="24"/>
        </w:rPr>
        <w:t xml:space="preserve"> = 0.078), but this is likely due to the fact that there we have only four observations from the </w:t>
      </w:r>
      <w:r w:rsidRPr="00580014">
        <w:rPr>
          <w:rFonts w:ascii="Times New Roman" w:hAnsi="Times New Roman" w:cs="Times New Roman"/>
          <w:i/>
          <w:sz w:val="24"/>
          <w:szCs w:val="24"/>
        </w:rPr>
        <w:t>Competition</w:t>
      </w:r>
      <w:r w:rsidRPr="00580014">
        <w:rPr>
          <w:rFonts w:ascii="Times New Roman" w:hAnsi="Times New Roman" w:cs="Times New Roman"/>
          <w:sz w:val="24"/>
          <w:szCs w:val="24"/>
        </w:rPr>
        <w:t xml:space="preserve"> treatment.  The magnitude of holdout was similarly large in the </w:t>
      </w:r>
      <w:r w:rsidRPr="00580014">
        <w:rPr>
          <w:rFonts w:ascii="Times New Roman" w:hAnsi="Times New Roman" w:cs="Times New Roman"/>
          <w:i/>
          <w:sz w:val="24"/>
          <w:szCs w:val="24"/>
        </w:rPr>
        <w:t>Eminent Domain</w:t>
      </w:r>
      <w:r w:rsidRPr="00580014">
        <w:rPr>
          <w:rFonts w:ascii="Times New Roman" w:hAnsi="Times New Roman" w:cs="Times New Roman"/>
          <w:sz w:val="24"/>
          <w:szCs w:val="24"/>
        </w:rPr>
        <w:t xml:space="preserve"> treatment.  </w:t>
      </w:r>
      <w:r w:rsidR="00186F51" w:rsidRPr="00580014">
        <w:rPr>
          <w:rFonts w:ascii="Times New Roman" w:hAnsi="Times New Roman" w:cs="Times New Roman"/>
          <w:sz w:val="24"/>
          <w:szCs w:val="24"/>
        </w:rPr>
        <w:t>T</w:t>
      </w:r>
      <w:r w:rsidRPr="00580014">
        <w:rPr>
          <w:rFonts w:ascii="Times New Roman" w:hAnsi="Times New Roman" w:cs="Times New Roman"/>
          <w:sz w:val="24"/>
          <w:szCs w:val="24"/>
        </w:rPr>
        <w:t xml:space="preserve">he average strategic rejection was for an offer 19.5 points above her value.  It is not entirely clear why sellers would reject such favorable offers, although we suspect that they were due to confusion or simple error.  </w:t>
      </w:r>
      <w:r w:rsidR="00186F51" w:rsidRPr="00580014">
        <w:rPr>
          <w:rFonts w:ascii="Times New Roman" w:hAnsi="Times New Roman" w:cs="Times New Roman"/>
          <w:sz w:val="24"/>
          <w:szCs w:val="24"/>
        </w:rPr>
        <w:t>There were two cases</w:t>
      </w:r>
      <w:r w:rsidRPr="00580014">
        <w:rPr>
          <w:rFonts w:ascii="Times New Roman" w:hAnsi="Times New Roman" w:cs="Times New Roman"/>
          <w:sz w:val="24"/>
          <w:szCs w:val="24"/>
        </w:rPr>
        <w:t xml:space="preserve"> of strategic holdout in the</w:t>
      </w:r>
      <w:r w:rsidR="00186F51" w:rsidRPr="00580014">
        <w:rPr>
          <w:rFonts w:ascii="Times New Roman" w:hAnsi="Times New Roman" w:cs="Times New Roman"/>
          <w:sz w:val="24"/>
          <w:szCs w:val="24"/>
        </w:rPr>
        <w:t xml:space="preserve"> </w:t>
      </w:r>
      <w:r w:rsidR="00186F51" w:rsidRPr="00580014">
        <w:rPr>
          <w:rFonts w:ascii="Times New Roman" w:hAnsi="Times New Roman" w:cs="Times New Roman"/>
          <w:i/>
          <w:sz w:val="24"/>
          <w:szCs w:val="24"/>
        </w:rPr>
        <w:t>Eminent Domain</w:t>
      </w:r>
      <w:r w:rsidRPr="00580014">
        <w:rPr>
          <w:rFonts w:ascii="Times New Roman" w:hAnsi="Times New Roman" w:cs="Times New Roman"/>
          <w:sz w:val="24"/>
          <w:szCs w:val="24"/>
        </w:rPr>
        <w:t xml:space="preserve"> treatment</w:t>
      </w:r>
      <w:r w:rsidR="006B3F47" w:rsidRPr="00580014">
        <w:rPr>
          <w:rFonts w:ascii="Times New Roman" w:hAnsi="Times New Roman" w:cs="Times New Roman"/>
          <w:sz w:val="24"/>
          <w:szCs w:val="24"/>
        </w:rPr>
        <w:t>,</w:t>
      </w:r>
      <w:r w:rsidRPr="00580014">
        <w:rPr>
          <w:rFonts w:ascii="Times New Roman" w:hAnsi="Times New Roman" w:cs="Times New Roman"/>
          <w:sz w:val="24"/>
          <w:szCs w:val="24"/>
        </w:rPr>
        <w:t xml:space="preserve"> </w:t>
      </w:r>
      <w:r w:rsidR="00186F51" w:rsidRPr="00580014">
        <w:rPr>
          <w:rFonts w:ascii="Times New Roman" w:hAnsi="Times New Roman" w:cs="Times New Roman"/>
          <w:sz w:val="24"/>
          <w:szCs w:val="24"/>
        </w:rPr>
        <w:t>and both occurred in the first round</w:t>
      </w:r>
      <w:r w:rsidRPr="00580014">
        <w:rPr>
          <w:rFonts w:ascii="Times New Roman" w:hAnsi="Times New Roman" w:cs="Times New Roman"/>
          <w:sz w:val="24"/>
          <w:szCs w:val="24"/>
        </w:rPr>
        <w:t>.</w:t>
      </w:r>
    </w:p>
    <w:p w14:paraId="64495170" w14:textId="77777777" w:rsidR="00D5773A" w:rsidRPr="00580014" w:rsidRDefault="002F3F8A" w:rsidP="00D5773A">
      <w:pPr>
        <w:spacing w:line="480" w:lineRule="auto"/>
        <w:rPr>
          <w:rFonts w:ascii="Times New Roman" w:eastAsiaTheme="minorEastAsia" w:hAnsi="Times New Roman" w:cs="Times New Roman"/>
          <w:i/>
          <w:sz w:val="24"/>
          <w:szCs w:val="24"/>
        </w:rPr>
      </w:pPr>
      <w:r w:rsidRPr="00580014">
        <w:rPr>
          <w:rFonts w:ascii="Times New Roman" w:eastAsiaTheme="minorEastAsia" w:hAnsi="Times New Roman" w:cs="Times New Roman"/>
          <w:i/>
          <w:sz w:val="24"/>
          <w:szCs w:val="24"/>
        </w:rPr>
        <w:t>C</w:t>
      </w:r>
      <w:r w:rsidR="00D5773A" w:rsidRPr="00580014">
        <w:rPr>
          <w:rFonts w:ascii="Times New Roman" w:eastAsiaTheme="minorEastAsia" w:hAnsi="Times New Roman" w:cs="Times New Roman"/>
          <w:i/>
          <w:sz w:val="24"/>
          <w:szCs w:val="24"/>
        </w:rPr>
        <w:t>. Efficiency</w:t>
      </w:r>
    </w:p>
    <w:p w14:paraId="6BC62FBE" w14:textId="52D7B40F" w:rsidR="00B31E08" w:rsidRPr="00580014" w:rsidRDefault="00D5773A">
      <w:pPr>
        <w:spacing w:line="480" w:lineRule="auto"/>
        <w:jc w:val="both"/>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ab/>
        <w:t xml:space="preserve">We measured the participants’ ability to create surplus with two metrics.  The first metric </w:t>
      </w:r>
      <w:r w:rsidR="00232611" w:rsidRPr="00580014">
        <w:rPr>
          <w:rFonts w:ascii="Times New Roman" w:eastAsiaTheme="minorEastAsia" w:hAnsi="Times New Roman" w:cs="Times New Roman"/>
          <w:sz w:val="24"/>
          <w:szCs w:val="24"/>
        </w:rPr>
        <w:t xml:space="preserve">– which </w:t>
      </w:r>
      <w:r w:rsidRPr="00580014">
        <w:rPr>
          <w:rFonts w:ascii="Times New Roman" w:eastAsiaTheme="minorEastAsia" w:hAnsi="Times New Roman" w:cs="Times New Roman"/>
          <w:sz w:val="24"/>
          <w:szCs w:val="24"/>
        </w:rPr>
        <w:t>we will call basic efficiency</w:t>
      </w:r>
      <w:r w:rsidR="004C2927" w:rsidRPr="00580014">
        <w:rPr>
          <w:rFonts w:ascii="Times New Roman" w:eastAsiaTheme="minorEastAsia" w:hAnsi="Times New Roman" w:cs="Times New Roman"/>
          <w:sz w:val="24"/>
          <w:szCs w:val="24"/>
        </w:rPr>
        <w:t xml:space="preserve"> </w:t>
      </w:r>
      <w:r w:rsidR="00232611" w:rsidRPr="00580014">
        <w:rPr>
          <w:rFonts w:ascii="Times New Roman" w:eastAsiaTheme="minorEastAsia" w:hAnsi="Times New Roman" w:cs="Times New Roman"/>
          <w:sz w:val="24"/>
          <w:szCs w:val="24"/>
        </w:rPr>
        <w:t>–</w:t>
      </w:r>
      <w:r w:rsidRPr="00580014">
        <w:rPr>
          <w:rFonts w:ascii="Times New Roman" w:eastAsiaTheme="minorEastAsia" w:hAnsi="Times New Roman" w:cs="Times New Roman"/>
          <w:sz w:val="24"/>
          <w:szCs w:val="24"/>
        </w:rPr>
        <w:t xml:space="preserve"> is the amount of surplus achieved in the negotiation divided by the maximum surplus that could have been achieved.  Notice that the sellers received their values (minus delay costs) if assembly failed</w:t>
      </w:r>
      <w:r w:rsidR="00DE73D0" w:rsidRPr="00580014">
        <w:rPr>
          <w:rFonts w:ascii="Times New Roman" w:eastAsiaTheme="minorEastAsia" w:hAnsi="Times New Roman" w:cs="Times New Roman"/>
          <w:sz w:val="24"/>
          <w:szCs w:val="24"/>
        </w:rPr>
        <w:t>,</w:t>
      </w:r>
      <w:r w:rsidRPr="00580014">
        <w:rPr>
          <w:rFonts w:ascii="Times New Roman" w:eastAsiaTheme="minorEastAsia" w:hAnsi="Times New Roman" w:cs="Times New Roman"/>
          <w:sz w:val="24"/>
          <w:szCs w:val="24"/>
        </w:rPr>
        <w:t xml:space="preserve"> </w:t>
      </w:r>
      <w:r w:rsidR="00232611" w:rsidRPr="00580014">
        <w:rPr>
          <w:rFonts w:ascii="Times New Roman" w:eastAsiaTheme="minorEastAsia" w:hAnsi="Times New Roman" w:cs="Times New Roman"/>
          <w:sz w:val="24"/>
          <w:szCs w:val="24"/>
        </w:rPr>
        <w:t xml:space="preserve">so </w:t>
      </w:r>
      <w:r w:rsidRPr="00580014">
        <w:rPr>
          <w:rFonts w:ascii="Times New Roman" w:eastAsiaTheme="minorEastAsia" w:hAnsi="Times New Roman" w:cs="Times New Roman"/>
          <w:sz w:val="24"/>
          <w:szCs w:val="24"/>
        </w:rPr>
        <w:t>it was impossible for basic efficiency to equal zero.  Some minimum amount of surplus was guaranteed.  Thus, we use an additional metric, which we will call normalized efficiency, equal to the difference between the achieved surplus and minimum surplus divided by the difference between the maximum and minimum surplus</w:t>
      </w:r>
      <w:r w:rsidR="00E2526A" w:rsidRPr="00580014">
        <w:rPr>
          <w:rFonts w:ascii="Times New Roman" w:eastAsiaTheme="minorEastAsia" w:hAnsi="Times New Roman" w:cs="Times New Roman"/>
          <w:sz w:val="24"/>
          <w:szCs w:val="24"/>
        </w:rPr>
        <w:t>es</w:t>
      </w:r>
      <w:r w:rsidRPr="00580014">
        <w:rPr>
          <w:rFonts w:ascii="Times New Roman" w:eastAsiaTheme="minorEastAsia" w:hAnsi="Times New Roman" w:cs="Times New Roman"/>
          <w:sz w:val="24"/>
          <w:szCs w:val="24"/>
        </w:rPr>
        <w:t xml:space="preserve">.  The advantage of the basic efficiency metric is that it is sensitive to how much surplus was at risk in a given negotiation.  Yet the normalized efficiency metric is useful because it reflects the percentage of the </w:t>
      </w:r>
      <w:r w:rsidR="00B21BDD">
        <w:rPr>
          <w:rFonts w:ascii="Times New Roman" w:eastAsiaTheme="minorEastAsia" w:hAnsi="Times New Roman" w:cs="Times New Roman"/>
          <w:sz w:val="24"/>
          <w:szCs w:val="24"/>
        </w:rPr>
        <w:t xml:space="preserve">at-risk </w:t>
      </w:r>
      <w:r w:rsidRPr="00580014">
        <w:rPr>
          <w:rFonts w:ascii="Times New Roman" w:eastAsiaTheme="minorEastAsia" w:hAnsi="Times New Roman" w:cs="Times New Roman"/>
          <w:sz w:val="24"/>
          <w:szCs w:val="24"/>
        </w:rPr>
        <w:t>surplus that was captured through negotiation.</w:t>
      </w:r>
    </w:p>
    <w:p w14:paraId="2D22881B" w14:textId="77777777" w:rsidR="00B31E08" w:rsidRPr="00580014" w:rsidRDefault="00D5773A">
      <w:pPr>
        <w:spacing w:line="480" w:lineRule="auto"/>
        <w:jc w:val="both"/>
        <w:rPr>
          <w:rFonts w:ascii="Times New Roman" w:hAnsi="Times New Roman" w:cs="Times New Roman"/>
          <w:sz w:val="24"/>
          <w:szCs w:val="24"/>
        </w:rPr>
      </w:pPr>
      <w:r w:rsidRPr="00580014">
        <w:rPr>
          <w:rFonts w:ascii="Times New Roman" w:eastAsiaTheme="minorEastAsia" w:hAnsi="Times New Roman" w:cs="Times New Roman"/>
          <w:sz w:val="24"/>
          <w:szCs w:val="24"/>
        </w:rPr>
        <w:tab/>
        <w:t xml:space="preserve">Basic efficiency and normalized efficiency are shown in Table </w:t>
      </w:r>
      <w:r w:rsidR="009A2BAF" w:rsidRPr="00580014">
        <w:rPr>
          <w:rFonts w:ascii="Times New Roman" w:eastAsiaTheme="minorEastAsia" w:hAnsi="Times New Roman" w:cs="Times New Roman"/>
          <w:sz w:val="24"/>
          <w:szCs w:val="24"/>
        </w:rPr>
        <w:t>4</w:t>
      </w:r>
      <w:r w:rsidRPr="00580014">
        <w:rPr>
          <w:rFonts w:ascii="Times New Roman" w:eastAsiaTheme="minorEastAsia" w:hAnsi="Times New Roman" w:cs="Times New Roman"/>
          <w:sz w:val="24"/>
          <w:szCs w:val="24"/>
        </w:rPr>
        <w:t xml:space="preserve">.  We compared both metrics across treatments with pair-wise Mann-Whitney tests.  The z-statistics from those tests are displayed in Table </w:t>
      </w:r>
      <w:r w:rsidR="009A2BAF" w:rsidRPr="00580014">
        <w:rPr>
          <w:rFonts w:ascii="Times New Roman" w:eastAsiaTheme="minorEastAsia" w:hAnsi="Times New Roman" w:cs="Times New Roman"/>
          <w:sz w:val="24"/>
          <w:szCs w:val="24"/>
        </w:rPr>
        <w:t>5</w:t>
      </w:r>
      <w:r w:rsidRPr="00580014">
        <w:rPr>
          <w:rFonts w:ascii="Times New Roman" w:eastAsiaTheme="minorEastAsia" w:hAnsi="Times New Roman" w:cs="Times New Roman"/>
          <w:sz w:val="24"/>
          <w:szCs w:val="24"/>
        </w:rPr>
        <w:t xml:space="preserve">.  All comparisons are statistically </w:t>
      </w:r>
      <w:r w:rsidR="003C3587" w:rsidRPr="00580014">
        <w:rPr>
          <w:rFonts w:ascii="Times New Roman" w:eastAsiaTheme="minorEastAsia" w:hAnsi="Times New Roman" w:cs="Times New Roman"/>
          <w:sz w:val="24"/>
          <w:szCs w:val="24"/>
        </w:rPr>
        <w:t>different</w:t>
      </w:r>
      <w:r w:rsidRPr="00580014">
        <w:rPr>
          <w:rFonts w:ascii="Times New Roman" w:eastAsiaTheme="minorEastAsia" w:hAnsi="Times New Roman" w:cs="Times New Roman"/>
          <w:sz w:val="24"/>
          <w:szCs w:val="24"/>
        </w:rPr>
        <w:t xml:space="preserve">, with two exceptions.  First, the basic efficiencies in the </w:t>
      </w:r>
      <w:r w:rsidRPr="00580014">
        <w:rPr>
          <w:rFonts w:ascii="Times New Roman" w:eastAsiaTheme="minorEastAsia" w:hAnsi="Times New Roman" w:cs="Times New Roman"/>
          <w:i/>
          <w:sz w:val="24"/>
          <w:szCs w:val="24"/>
        </w:rPr>
        <w:t>Baseline</w:t>
      </w:r>
      <w:r w:rsidRPr="00580014">
        <w:rPr>
          <w:rFonts w:ascii="Times New Roman" w:hAnsi="Times New Roman" w:cs="Times New Roman"/>
          <w:sz w:val="24"/>
          <w:szCs w:val="24"/>
        </w:rPr>
        <w:t xml:space="preserve"> and </w:t>
      </w:r>
      <w:r w:rsidR="00EE6F4D" w:rsidRPr="00580014">
        <w:rPr>
          <w:rFonts w:ascii="Times New Roman" w:hAnsi="Times New Roman" w:cs="Times New Roman"/>
          <w:i/>
          <w:sz w:val="24"/>
          <w:szCs w:val="24"/>
        </w:rPr>
        <w:t>Eminent Domain</w:t>
      </w:r>
      <w:r w:rsidR="00EE6F4D" w:rsidRPr="00580014">
        <w:rPr>
          <w:rFonts w:ascii="Times New Roman" w:hAnsi="Times New Roman" w:cs="Times New Roman"/>
          <w:sz w:val="24"/>
          <w:szCs w:val="24"/>
        </w:rPr>
        <w:t xml:space="preserve"> </w:t>
      </w:r>
      <w:r w:rsidRPr="00580014">
        <w:rPr>
          <w:rFonts w:ascii="Times New Roman" w:hAnsi="Times New Roman" w:cs="Times New Roman"/>
          <w:sz w:val="24"/>
          <w:szCs w:val="24"/>
        </w:rPr>
        <w:t xml:space="preserve">treatments are 81.9% and 81.4%, which are </w:t>
      </w:r>
      <w:r w:rsidR="009A2BAF" w:rsidRPr="00580014">
        <w:rPr>
          <w:rFonts w:ascii="Times New Roman" w:hAnsi="Times New Roman" w:cs="Times New Roman"/>
          <w:sz w:val="24"/>
          <w:szCs w:val="24"/>
        </w:rPr>
        <w:t xml:space="preserve">not </w:t>
      </w:r>
      <w:r w:rsidRPr="00580014">
        <w:rPr>
          <w:rFonts w:ascii="Times New Roman" w:hAnsi="Times New Roman" w:cs="Times New Roman"/>
          <w:sz w:val="24"/>
          <w:szCs w:val="24"/>
        </w:rPr>
        <w:t xml:space="preserve">statistically </w:t>
      </w:r>
      <w:r w:rsidR="009A2BAF" w:rsidRPr="00580014">
        <w:rPr>
          <w:rFonts w:ascii="Times New Roman" w:hAnsi="Times New Roman" w:cs="Times New Roman"/>
          <w:sz w:val="24"/>
          <w:szCs w:val="24"/>
        </w:rPr>
        <w:t xml:space="preserve">different </w:t>
      </w:r>
      <w:r w:rsidRPr="00580014">
        <w:rPr>
          <w:rFonts w:ascii="Times New Roman" w:hAnsi="Times New Roman" w:cs="Times New Roman"/>
          <w:sz w:val="24"/>
          <w:szCs w:val="24"/>
        </w:rPr>
        <w:t>(</w:t>
      </w:r>
      <w:r w:rsidRPr="00580014">
        <w:rPr>
          <w:rFonts w:ascii="Times New Roman" w:hAnsi="Times New Roman" w:cs="Times New Roman"/>
          <w:i/>
          <w:sz w:val="24"/>
          <w:szCs w:val="24"/>
        </w:rPr>
        <w:t>p</w:t>
      </w:r>
      <w:r w:rsidRPr="00580014">
        <w:rPr>
          <w:rFonts w:ascii="Times New Roman" w:hAnsi="Times New Roman" w:cs="Times New Roman"/>
          <w:sz w:val="24"/>
          <w:szCs w:val="24"/>
        </w:rPr>
        <w:t xml:space="preserve"> = 0.971).  Th</w:t>
      </w:r>
      <w:r w:rsidR="00EE6F4D" w:rsidRPr="00580014">
        <w:rPr>
          <w:rFonts w:ascii="Times New Roman" w:hAnsi="Times New Roman" w:cs="Times New Roman"/>
          <w:sz w:val="24"/>
          <w:szCs w:val="24"/>
        </w:rPr>
        <w:t>at is,</w:t>
      </w:r>
      <w:r w:rsidRPr="00580014">
        <w:rPr>
          <w:rFonts w:ascii="Times New Roman" w:hAnsi="Times New Roman" w:cs="Times New Roman"/>
          <w:sz w:val="24"/>
          <w:szCs w:val="24"/>
        </w:rPr>
        <w:t xml:space="preserve"> eminent domain did not result in a net surplus gain.  Second, the normalized efficiencies in the </w:t>
      </w:r>
      <w:r w:rsidRPr="00580014">
        <w:rPr>
          <w:rFonts w:ascii="Times New Roman" w:hAnsi="Times New Roman" w:cs="Times New Roman"/>
          <w:i/>
          <w:sz w:val="24"/>
          <w:szCs w:val="24"/>
        </w:rPr>
        <w:t>Competition</w:t>
      </w:r>
      <w:r w:rsidRPr="00580014">
        <w:rPr>
          <w:rFonts w:ascii="Times New Roman" w:hAnsi="Times New Roman" w:cs="Times New Roman"/>
          <w:sz w:val="24"/>
          <w:szCs w:val="24"/>
        </w:rPr>
        <w:t xml:space="preserve"> and </w:t>
      </w:r>
      <w:r w:rsidR="00EE6F4D" w:rsidRPr="00580014">
        <w:rPr>
          <w:rFonts w:ascii="Times New Roman" w:hAnsi="Times New Roman" w:cs="Times New Roman"/>
          <w:i/>
          <w:sz w:val="24"/>
          <w:szCs w:val="24"/>
        </w:rPr>
        <w:t>Eminent Domain</w:t>
      </w:r>
      <w:r w:rsidR="00EE6F4D" w:rsidRPr="00580014">
        <w:rPr>
          <w:rFonts w:ascii="Times New Roman" w:hAnsi="Times New Roman" w:cs="Times New Roman"/>
          <w:sz w:val="24"/>
          <w:szCs w:val="24"/>
        </w:rPr>
        <w:t xml:space="preserve"> </w:t>
      </w:r>
      <w:r w:rsidRPr="00580014">
        <w:rPr>
          <w:rFonts w:ascii="Times New Roman" w:hAnsi="Times New Roman" w:cs="Times New Roman"/>
          <w:sz w:val="24"/>
          <w:szCs w:val="24"/>
        </w:rPr>
        <w:t>treatments are 64.9% and 69.4%.  The difference is not statistically significant (</w:t>
      </w:r>
      <w:r w:rsidRPr="00580014">
        <w:rPr>
          <w:rFonts w:ascii="Times New Roman" w:hAnsi="Times New Roman" w:cs="Times New Roman"/>
          <w:i/>
          <w:sz w:val="24"/>
          <w:szCs w:val="24"/>
        </w:rPr>
        <w:t>p</w:t>
      </w:r>
      <w:r w:rsidRPr="00580014">
        <w:rPr>
          <w:rFonts w:ascii="Times New Roman" w:hAnsi="Times New Roman" w:cs="Times New Roman"/>
          <w:sz w:val="24"/>
          <w:szCs w:val="24"/>
        </w:rPr>
        <w:t xml:space="preserve"> = 0.498).  Consequently, an imperfect substitute allowed participants to capture as much of the at-risk surplus as eminent domain.  </w:t>
      </w:r>
    </w:p>
    <w:p w14:paraId="20CC45DB" w14:textId="476A3072" w:rsidR="004D6F4C" w:rsidRPr="00580014" w:rsidRDefault="004D6F4C" w:rsidP="004D6F4C">
      <w:pPr>
        <w:spacing w:line="480" w:lineRule="auto"/>
        <w:jc w:val="center"/>
        <w:rPr>
          <w:rFonts w:ascii="Times New Roman" w:hAnsi="Times New Roman" w:cs="Times New Roman"/>
          <w:b/>
          <w:sz w:val="24"/>
          <w:szCs w:val="24"/>
        </w:rPr>
      </w:pPr>
      <w:r w:rsidRPr="00580014">
        <w:rPr>
          <w:rFonts w:ascii="Times New Roman" w:hAnsi="Times New Roman" w:cs="Times New Roman"/>
          <w:b/>
          <w:sz w:val="24"/>
          <w:szCs w:val="24"/>
        </w:rPr>
        <w:t xml:space="preserve">[Table </w:t>
      </w:r>
      <w:r w:rsidR="004A669D">
        <w:rPr>
          <w:rFonts w:ascii="Times New Roman" w:hAnsi="Times New Roman" w:cs="Times New Roman"/>
          <w:b/>
          <w:sz w:val="24"/>
          <w:szCs w:val="24"/>
        </w:rPr>
        <w:t>4</w:t>
      </w:r>
      <w:r w:rsidRPr="00580014">
        <w:rPr>
          <w:rFonts w:ascii="Times New Roman" w:hAnsi="Times New Roman" w:cs="Times New Roman"/>
          <w:b/>
          <w:sz w:val="24"/>
          <w:szCs w:val="24"/>
        </w:rPr>
        <w:t xml:space="preserve"> </w:t>
      </w:r>
      <w:r w:rsidR="00BB0094" w:rsidRPr="00580014">
        <w:rPr>
          <w:rFonts w:ascii="Times New Roman" w:hAnsi="Times New Roman" w:cs="Times New Roman"/>
          <w:b/>
          <w:sz w:val="24"/>
          <w:szCs w:val="24"/>
        </w:rPr>
        <w:t xml:space="preserve">and Table </w:t>
      </w:r>
      <w:r w:rsidR="004A669D">
        <w:rPr>
          <w:rFonts w:ascii="Times New Roman" w:hAnsi="Times New Roman" w:cs="Times New Roman"/>
          <w:b/>
          <w:sz w:val="24"/>
          <w:szCs w:val="24"/>
        </w:rPr>
        <w:t>5</w:t>
      </w:r>
      <w:r w:rsidR="00BB0094" w:rsidRPr="00580014">
        <w:rPr>
          <w:rFonts w:ascii="Times New Roman" w:hAnsi="Times New Roman" w:cs="Times New Roman"/>
          <w:b/>
          <w:sz w:val="24"/>
          <w:szCs w:val="24"/>
        </w:rPr>
        <w:t xml:space="preserve"> </w:t>
      </w:r>
      <w:r w:rsidRPr="00580014">
        <w:rPr>
          <w:rFonts w:ascii="Times New Roman" w:hAnsi="Times New Roman" w:cs="Times New Roman"/>
          <w:b/>
          <w:sz w:val="24"/>
          <w:szCs w:val="24"/>
        </w:rPr>
        <w:t>Here]</w:t>
      </w:r>
    </w:p>
    <w:p w14:paraId="57A0B86D" w14:textId="77777777" w:rsidR="00B31E08" w:rsidRPr="00580014" w:rsidRDefault="00D5773A">
      <w:pPr>
        <w:spacing w:line="480" w:lineRule="auto"/>
        <w:ind w:firstLine="720"/>
        <w:jc w:val="both"/>
        <w:rPr>
          <w:rFonts w:ascii="Times New Roman" w:hAnsi="Times New Roman" w:cs="Times New Roman"/>
          <w:sz w:val="24"/>
          <w:szCs w:val="24"/>
        </w:rPr>
      </w:pPr>
      <w:r w:rsidRPr="00580014">
        <w:rPr>
          <w:rFonts w:ascii="Times New Roman" w:hAnsi="Times New Roman" w:cs="Times New Roman"/>
          <w:sz w:val="24"/>
          <w:szCs w:val="24"/>
        </w:rPr>
        <w:t xml:space="preserve">In Table </w:t>
      </w:r>
      <w:r w:rsidR="009A2BAF" w:rsidRPr="00580014">
        <w:rPr>
          <w:rFonts w:ascii="Times New Roman" w:hAnsi="Times New Roman" w:cs="Times New Roman"/>
          <w:sz w:val="24"/>
          <w:szCs w:val="24"/>
        </w:rPr>
        <w:t>6</w:t>
      </w:r>
      <w:r w:rsidRPr="00580014">
        <w:rPr>
          <w:rFonts w:ascii="Times New Roman" w:hAnsi="Times New Roman" w:cs="Times New Roman"/>
          <w:sz w:val="24"/>
          <w:szCs w:val="24"/>
        </w:rPr>
        <w:t xml:space="preserve"> we provide complete information regarding the number of points that could have been earned in each treatment, along with how many points were earned and the number of points that were lost due to the various sources of inefficiency.  In the </w:t>
      </w:r>
      <w:r w:rsidRPr="00580014">
        <w:rPr>
          <w:rFonts w:ascii="Times New Roman" w:hAnsi="Times New Roman" w:cs="Times New Roman"/>
          <w:i/>
          <w:sz w:val="24"/>
          <w:szCs w:val="24"/>
        </w:rPr>
        <w:t>Baseline</w:t>
      </w:r>
      <w:r w:rsidRPr="00580014">
        <w:rPr>
          <w:rFonts w:ascii="Times New Roman" w:hAnsi="Times New Roman" w:cs="Times New Roman"/>
          <w:sz w:val="24"/>
          <w:szCs w:val="24"/>
        </w:rPr>
        <w:t xml:space="preserve"> participants failed to capture a total of 1,498 points</w:t>
      </w:r>
      <w:r w:rsidR="0096618A" w:rsidRPr="00580014">
        <w:rPr>
          <w:rFonts w:ascii="Times New Roman" w:hAnsi="Times New Roman" w:cs="Times New Roman"/>
          <w:sz w:val="24"/>
          <w:szCs w:val="24"/>
        </w:rPr>
        <w:t>, or 18.1% of the available surplus</w:t>
      </w:r>
      <w:r w:rsidRPr="00580014">
        <w:rPr>
          <w:rFonts w:ascii="Times New Roman" w:hAnsi="Times New Roman" w:cs="Times New Roman"/>
          <w:sz w:val="24"/>
          <w:szCs w:val="24"/>
        </w:rPr>
        <w:t xml:space="preserve">.  The overwhelming majority of these (82.6%) were lost due to delay.  The average length of all negotiations in the </w:t>
      </w:r>
      <w:r w:rsidRPr="00580014">
        <w:rPr>
          <w:rFonts w:ascii="Times New Roman" w:hAnsi="Times New Roman" w:cs="Times New Roman"/>
          <w:i/>
          <w:sz w:val="24"/>
          <w:szCs w:val="24"/>
        </w:rPr>
        <w:t>Baseline</w:t>
      </w:r>
      <w:r w:rsidRPr="00580014">
        <w:rPr>
          <w:rFonts w:ascii="Times New Roman" w:hAnsi="Times New Roman" w:cs="Times New Roman"/>
          <w:sz w:val="24"/>
          <w:szCs w:val="24"/>
        </w:rPr>
        <w:t xml:space="preserve"> was 4.2 periods.  For those cases where assembly was efficient the average negotiation required 3.75 periods.  These average</w:t>
      </w:r>
      <w:r w:rsidR="00535CC7" w:rsidRPr="00580014">
        <w:rPr>
          <w:rFonts w:ascii="Times New Roman" w:hAnsi="Times New Roman" w:cs="Times New Roman"/>
          <w:sz w:val="24"/>
          <w:szCs w:val="24"/>
        </w:rPr>
        <w:t xml:space="preserve"> durations</w:t>
      </w:r>
      <w:r w:rsidRPr="00580014">
        <w:rPr>
          <w:rFonts w:ascii="Times New Roman" w:hAnsi="Times New Roman" w:cs="Times New Roman"/>
          <w:sz w:val="24"/>
          <w:szCs w:val="24"/>
        </w:rPr>
        <w:t xml:space="preserve"> are longer than the results of our simulations, which predicted all negotiations to take an average of 3.4 periods and those with positive surplus from assembly to last an average of 2.7 periods.  Wilcoxon sign rank tests indicate that </w:t>
      </w:r>
      <w:r w:rsidR="00AE7069" w:rsidRPr="00580014">
        <w:rPr>
          <w:rFonts w:ascii="Times New Roman" w:hAnsi="Times New Roman" w:cs="Times New Roman"/>
          <w:sz w:val="24"/>
          <w:szCs w:val="24"/>
        </w:rPr>
        <w:t>there are</w:t>
      </w:r>
      <w:r w:rsidRPr="00580014">
        <w:rPr>
          <w:rFonts w:ascii="Times New Roman" w:hAnsi="Times New Roman" w:cs="Times New Roman"/>
          <w:sz w:val="24"/>
          <w:szCs w:val="24"/>
        </w:rPr>
        <w:t xml:space="preserve"> </w:t>
      </w:r>
      <w:r w:rsidR="00AE7069" w:rsidRPr="00580014">
        <w:rPr>
          <w:rFonts w:ascii="Times New Roman" w:hAnsi="Times New Roman" w:cs="Times New Roman"/>
          <w:sz w:val="24"/>
          <w:szCs w:val="24"/>
        </w:rPr>
        <w:t xml:space="preserve">statistical </w:t>
      </w:r>
      <w:r w:rsidRPr="00580014">
        <w:rPr>
          <w:rFonts w:ascii="Times New Roman" w:hAnsi="Times New Roman" w:cs="Times New Roman"/>
          <w:sz w:val="24"/>
          <w:szCs w:val="24"/>
        </w:rPr>
        <w:t>differences in duration between the simulated and actual negotiations (</w:t>
      </w:r>
      <w:r w:rsidRPr="00580014">
        <w:rPr>
          <w:rFonts w:ascii="Times New Roman" w:hAnsi="Times New Roman" w:cs="Times New Roman"/>
          <w:i/>
          <w:sz w:val="24"/>
          <w:szCs w:val="24"/>
        </w:rPr>
        <w:t>p</w:t>
      </w:r>
      <w:r w:rsidRPr="00580014">
        <w:rPr>
          <w:rFonts w:ascii="Times New Roman" w:hAnsi="Times New Roman" w:cs="Times New Roman"/>
          <w:sz w:val="24"/>
          <w:szCs w:val="24"/>
        </w:rPr>
        <w:t xml:space="preserve"> &lt; 0.01 in both cases).  However, it is important to note that sellers do not bear sole responsibility for delay, as less than a quarter of them rejected an offer that exceeded their values and more than half of buyers’ final offers were below equilibrium.</w:t>
      </w:r>
    </w:p>
    <w:p w14:paraId="4BD00D95" w14:textId="4FD171FC" w:rsidR="00372BBE" w:rsidRPr="00580014" w:rsidRDefault="00372BBE" w:rsidP="00372BBE">
      <w:pPr>
        <w:spacing w:line="480" w:lineRule="auto"/>
        <w:jc w:val="center"/>
        <w:rPr>
          <w:rFonts w:ascii="Times New Roman" w:hAnsi="Times New Roman" w:cs="Times New Roman"/>
          <w:b/>
          <w:sz w:val="24"/>
          <w:szCs w:val="24"/>
        </w:rPr>
      </w:pPr>
      <w:r w:rsidRPr="00580014">
        <w:rPr>
          <w:rFonts w:ascii="Times New Roman" w:hAnsi="Times New Roman" w:cs="Times New Roman"/>
          <w:b/>
          <w:sz w:val="24"/>
          <w:szCs w:val="24"/>
        </w:rPr>
        <w:t xml:space="preserve">[Table </w:t>
      </w:r>
      <w:r w:rsidR="004A669D">
        <w:rPr>
          <w:rFonts w:ascii="Times New Roman" w:hAnsi="Times New Roman" w:cs="Times New Roman"/>
          <w:b/>
          <w:sz w:val="24"/>
          <w:szCs w:val="24"/>
        </w:rPr>
        <w:t>6</w:t>
      </w:r>
      <w:r w:rsidRPr="00580014">
        <w:rPr>
          <w:rFonts w:ascii="Times New Roman" w:hAnsi="Times New Roman" w:cs="Times New Roman"/>
          <w:b/>
          <w:sz w:val="24"/>
          <w:szCs w:val="24"/>
        </w:rPr>
        <w:t xml:space="preserve"> Here]</w:t>
      </w:r>
    </w:p>
    <w:p w14:paraId="07A5DAC2" w14:textId="77777777" w:rsidR="00B31E08" w:rsidRPr="00580014" w:rsidRDefault="00D5773A">
      <w:pPr>
        <w:spacing w:line="480" w:lineRule="auto"/>
        <w:ind w:firstLine="720"/>
        <w:jc w:val="both"/>
        <w:rPr>
          <w:rFonts w:ascii="Times New Roman" w:hAnsi="Times New Roman" w:cs="Times New Roman"/>
          <w:sz w:val="24"/>
          <w:szCs w:val="24"/>
        </w:rPr>
      </w:pPr>
      <w:r w:rsidRPr="00580014">
        <w:rPr>
          <w:rFonts w:ascii="Times New Roman" w:hAnsi="Times New Roman" w:cs="Times New Roman"/>
          <w:sz w:val="24"/>
          <w:szCs w:val="24"/>
        </w:rPr>
        <w:t xml:space="preserve">There were 32 negotiations in the </w:t>
      </w:r>
      <w:r w:rsidRPr="00580014">
        <w:rPr>
          <w:rFonts w:ascii="Times New Roman" w:hAnsi="Times New Roman" w:cs="Times New Roman"/>
          <w:i/>
          <w:sz w:val="24"/>
          <w:szCs w:val="24"/>
        </w:rPr>
        <w:t>Baseline</w:t>
      </w:r>
      <w:r w:rsidRPr="00580014">
        <w:rPr>
          <w:rFonts w:ascii="Times New Roman" w:hAnsi="Times New Roman" w:cs="Times New Roman"/>
          <w:sz w:val="24"/>
          <w:szCs w:val="24"/>
        </w:rPr>
        <w:t xml:space="preserve"> with a positive surplus available from assembly.  The buyer achieved assembly in 23 of them.  This is a 71.8% assembly rate, which is less than the 89% from our simulations.</w:t>
      </w:r>
      <w:r w:rsidR="00EE6F4D" w:rsidRPr="00580014">
        <w:rPr>
          <w:rFonts w:ascii="Times New Roman" w:hAnsi="Times New Roman" w:cs="Times New Roman"/>
          <w:sz w:val="24"/>
          <w:szCs w:val="24"/>
        </w:rPr>
        <w:t xml:space="preserve">  However, in four of the failed negotiations there was no seller holdout.  If offers had been high enough </w:t>
      </w:r>
      <w:r w:rsidR="00111F0D" w:rsidRPr="00580014">
        <w:rPr>
          <w:rFonts w:ascii="Times New Roman" w:hAnsi="Times New Roman" w:cs="Times New Roman"/>
          <w:sz w:val="24"/>
          <w:szCs w:val="24"/>
        </w:rPr>
        <w:t>for sellers to accept in these negotiations the assembly rate would have been 84.4%.</w:t>
      </w:r>
      <w:r w:rsidR="00EE6F4D" w:rsidRPr="00580014">
        <w:rPr>
          <w:rFonts w:ascii="Times New Roman" w:hAnsi="Times New Roman" w:cs="Times New Roman"/>
          <w:sz w:val="24"/>
          <w:szCs w:val="24"/>
        </w:rPr>
        <w:t xml:space="preserve"> </w:t>
      </w:r>
      <w:r w:rsidRPr="00580014">
        <w:rPr>
          <w:rFonts w:ascii="Times New Roman" w:hAnsi="Times New Roman" w:cs="Times New Roman"/>
          <w:sz w:val="24"/>
          <w:szCs w:val="24"/>
        </w:rPr>
        <w:t xml:space="preserve">  In total, 225 points were lost in the </w:t>
      </w:r>
      <w:r w:rsidRPr="00580014">
        <w:rPr>
          <w:rFonts w:ascii="Times New Roman" w:hAnsi="Times New Roman" w:cs="Times New Roman"/>
          <w:i/>
          <w:sz w:val="24"/>
          <w:szCs w:val="24"/>
        </w:rPr>
        <w:t>Baseline</w:t>
      </w:r>
      <w:r w:rsidRPr="00580014">
        <w:rPr>
          <w:rFonts w:ascii="Times New Roman" w:hAnsi="Times New Roman" w:cs="Times New Roman"/>
          <w:sz w:val="24"/>
          <w:szCs w:val="24"/>
        </w:rPr>
        <w:t xml:space="preserve"> due to assembly failure.  </w:t>
      </w:r>
      <w:r w:rsidR="00AE7069" w:rsidRPr="00580014">
        <w:rPr>
          <w:rFonts w:ascii="Times New Roman" w:hAnsi="Times New Roman" w:cs="Times New Roman"/>
          <w:sz w:val="24"/>
          <w:szCs w:val="24"/>
        </w:rPr>
        <w:t xml:space="preserve">The loss to assembly failure </w:t>
      </w:r>
      <w:r w:rsidRPr="00580014">
        <w:rPr>
          <w:rFonts w:ascii="Times New Roman" w:hAnsi="Times New Roman" w:cs="Times New Roman"/>
          <w:sz w:val="24"/>
          <w:szCs w:val="24"/>
        </w:rPr>
        <w:t xml:space="preserve">accounts for 15% of the points lost in that treatment, and resulted in an efficiency loss of 2.7%.  </w:t>
      </w:r>
    </w:p>
    <w:p w14:paraId="00C5FEDA" w14:textId="77777777" w:rsidR="00B31E08" w:rsidRPr="00580014" w:rsidRDefault="00D5773A">
      <w:pPr>
        <w:spacing w:line="480" w:lineRule="auto"/>
        <w:ind w:firstLine="720"/>
        <w:jc w:val="both"/>
        <w:rPr>
          <w:rFonts w:ascii="Times New Roman" w:hAnsi="Times New Roman" w:cs="Times New Roman"/>
          <w:sz w:val="24"/>
          <w:szCs w:val="24"/>
        </w:rPr>
      </w:pPr>
      <w:r w:rsidRPr="00580014">
        <w:rPr>
          <w:rFonts w:ascii="Times New Roman" w:hAnsi="Times New Roman" w:cs="Times New Roman"/>
          <w:sz w:val="24"/>
          <w:szCs w:val="24"/>
        </w:rPr>
        <w:t>Contrary to our predictions</w:t>
      </w:r>
      <w:r w:rsidR="00492D02" w:rsidRPr="00580014">
        <w:rPr>
          <w:rFonts w:ascii="Times New Roman" w:hAnsi="Times New Roman" w:cs="Times New Roman"/>
          <w:sz w:val="24"/>
          <w:szCs w:val="24"/>
        </w:rPr>
        <w:t>,</w:t>
      </w:r>
      <w:r w:rsidRPr="00580014">
        <w:rPr>
          <w:rFonts w:ascii="Times New Roman" w:hAnsi="Times New Roman" w:cs="Times New Roman"/>
          <w:sz w:val="24"/>
          <w:szCs w:val="24"/>
        </w:rPr>
        <w:t xml:space="preserve"> inefficient </w:t>
      </w:r>
      <w:r w:rsidR="00C51485" w:rsidRPr="00580014">
        <w:rPr>
          <w:rFonts w:ascii="Times New Roman" w:hAnsi="Times New Roman" w:cs="Times New Roman"/>
          <w:sz w:val="24"/>
          <w:szCs w:val="24"/>
        </w:rPr>
        <w:t xml:space="preserve">land </w:t>
      </w:r>
      <w:r w:rsidRPr="00580014">
        <w:rPr>
          <w:rFonts w:ascii="Times New Roman" w:hAnsi="Times New Roman" w:cs="Times New Roman"/>
          <w:sz w:val="24"/>
          <w:szCs w:val="24"/>
        </w:rPr>
        <w:t xml:space="preserve">assembly did occur in the </w:t>
      </w:r>
      <w:r w:rsidRPr="00580014">
        <w:rPr>
          <w:rFonts w:ascii="Times New Roman" w:hAnsi="Times New Roman" w:cs="Times New Roman"/>
          <w:i/>
          <w:sz w:val="24"/>
          <w:szCs w:val="24"/>
        </w:rPr>
        <w:t>Baseline</w:t>
      </w:r>
      <w:r w:rsidR="00492D02" w:rsidRPr="00580014">
        <w:rPr>
          <w:rFonts w:ascii="Times New Roman" w:hAnsi="Times New Roman" w:cs="Times New Roman"/>
          <w:sz w:val="24"/>
          <w:szCs w:val="24"/>
        </w:rPr>
        <w:t>.</w:t>
      </w:r>
      <w:r w:rsidRPr="00580014">
        <w:rPr>
          <w:rFonts w:ascii="Times New Roman" w:hAnsi="Times New Roman" w:cs="Times New Roman"/>
          <w:sz w:val="24"/>
          <w:szCs w:val="24"/>
        </w:rPr>
        <w:t xml:space="preserve">  One third of negotiations where the sum of the sellers’ values exceeded the buyer’s </w:t>
      </w:r>
      <w:r w:rsidR="003A3BBC" w:rsidRPr="00580014">
        <w:rPr>
          <w:rFonts w:ascii="Times New Roman" w:hAnsi="Times New Roman" w:cs="Times New Roman"/>
          <w:sz w:val="24"/>
          <w:szCs w:val="24"/>
        </w:rPr>
        <w:t xml:space="preserve">values </w:t>
      </w:r>
      <w:r w:rsidRPr="00580014">
        <w:rPr>
          <w:rFonts w:ascii="Times New Roman" w:hAnsi="Times New Roman" w:cs="Times New Roman"/>
          <w:sz w:val="24"/>
          <w:szCs w:val="24"/>
        </w:rPr>
        <w:t xml:space="preserve">ended in a successful purchase.  </w:t>
      </w:r>
      <w:r w:rsidR="008D3E91" w:rsidRPr="00580014">
        <w:rPr>
          <w:rFonts w:ascii="Times New Roman" w:hAnsi="Times New Roman" w:cs="Times New Roman"/>
          <w:sz w:val="24"/>
          <w:szCs w:val="24"/>
        </w:rPr>
        <w:t xml:space="preserve">This is because sellers “caved in” by accepting offers below their values in 52.9% of cases, most likely to avoid delay costs.  </w:t>
      </w:r>
      <w:r w:rsidRPr="00580014">
        <w:rPr>
          <w:rFonts w:ascii="Times New Roman" w:hAnsi="Times New Roman" w:cs="Times New Roman"/>
          <w:sz w:val="24"/>
          <w:szCs w:val="24"/>
        </w:rPr>
        <w:t>However, the difference</w:t>
      </w:r>
      <w:r w:rsidR="008D3E91" w:rsidRPr="00580014">
        <w:rPr>
          <w:rFonts w:ascii="Times New Roman" w:hAnsi="Times New Roman" w:cs="Times New Roman"/>
          <w:sz w:val="24"/>
          <w:szCs w:val="24"/>
        </w:rPr>
        <w:t>s</w:t>
      </w:r>
      <w:r w:rsidRPr="00580014">
        <w:rPr>
          <w:rFonts w:ascii="Times New Roman" w:hAnsi="Times New Roman" w:cs="Times New Roman"/>
          <w:sz w:val="24"/>
          <w:szCs w:val="24"/>
        </w:rPr>
        <w:t xml:space="preserve"> in </w:t>
      </w:r>
      <w:r w:rsidR="008D3E91" w:rsidRPr="00580014">
        <w:rPr>
          <w:rFonts w:ascii="Times New Roman" w:hAnsi="Times New Roman" w:cs="Times New Roman"/>
          <w:sz w:val="24"/>
          <w:szCs w:val="24"/>
        </w:rPr>
        <w:t xml:space="preserve">buyer versus seller </w:t>
      </w:r>
      <w:r w:rsidRPr="00580014">
        <w:rPr>
          <w:rFonts w:ascii="Times New Roman" w:hAnsi="Times New Roman" w:cs="Times New Roman"/>
          <w:sz w:val="24"/>
          <w:szCs w:val="24"/>
        </w:rPr>
        <w:t xml:space="preserve">values tended to be small in these cases.  Only 36 points were lost due inefficient assembly.  This is 2.4% of all points lost in the </w:t>
      </w:r>
      <w:r w:rsidRPr="00580014">
        <w:rPr>
          <w:rFonts w:ascii="Times New Roman" w:hAnsi="Times New Roman" w:cs="Times New Roman"/>
          <w:i/>
          <w:sz w:val="24"/>
          <w:szCs w:val="24"/>
        </w:rPr>
        <w:t>Baseline</w:t>
      </w:r>
      <w:r w:rsidRPr="00580014">
        <w:rPr>
          <w:rFonts w:ascii="Times New Roman" w:hAnsi="Times New Roman" w:cs="Times New Roman"/>
          <w:sz w:val="24"/>
          <w:szCs w:val="24"/>
        </w:rPr>
        <w:t xml:space="preserve"> and 0.4% of the available surplus.</w:t>
      </w:r>
    </w:p>
    <w:p w14:paraId="46CE916A" w14:textId="77777777" w:rsidR="00B31E08" w:rsidRPr="00580014" w:rsidRDefault="00D5773A">
      <w:pPr>
        <w:spacing w:line="480" w:lineRule="auto"/>
        <w:ind w:firstLine="720"/>
        <w:jc w:val="both"/>
        <w:rPr>
          <w:rFonts w:ascii="Times New Roman" w:hAnsi="Times New Roman" w:cs="Times New Roman"/>
          <w:sz w:val="24"/>
          <w:szCs w:val="24"/>
        </w:rPr>
      </w:pPr>
      <w:r w:rsidRPr="00580014">
        <w:rPr>
          <w:rFonts w:ascii="Times New Roman" w:hAnsi="Times New Roman" w:cs="Times New Roman"/>
          <w:sz w:val="24"/>
          <w:szCs w:val="24"/>
        </w:rPr>
        <w:t xml:space="preserve">Participants were able to capture a higher share of the surplus in the </w:t>
      </w:r>
      <w:r w:rsidRPr="00580014">
        <w:rPr>
          <w:rFonts w:ascii="Times New Roman" w:hAnsi="Times New Roman" w:cs="Times New Roman"/>
          <w:i/>
          <w:sz w:val="24"/>
          <w:szCs w:val="24"/>
        </w:rPr>
        <w:t>Competition</w:t>
      </w:r>
      <w:r w:rsidRPr="00580014">
        <w:rPr>
          <w:rFonts w:ascii="Times New Roman" w:hAnsi="Times New Roman" w:cs="Times New Roman"/>
          <w:sz w:val="24"/>
          <w:szCs w:val="24"/>
        </w:rPr>
        <w:t xml:space="preserve"> treatment.</w:t>
      </w:r>
      <w:r w:rsidR="00D5130E" w:rsidRPr="00580014">
        <w:rPr>
          <w:rFonts w:ascii="Times New Roman" w:hAnsi="Times New Roman" w:cs="Times New Roman"/>
          <w:sz w:val="24"/>
          <w:szCs w:val="24"/>
        </w:rPr>
        <w:t xml:space="preserve">  </w:t>
      </w:r>
      <w:r w:rsidRPr="00580014">
        <w:rPr>
          <w:rFonts w:ascii="Times New Roman" w:hAnsi="Times New Roman" w:cs="Times New Roman"/>
          <w:sz w:val="24"/>
          <w:szCs w:val="24"/>
        </w:rPr>
        <w:t xml:space="preserve">Normalized efficiency was 64.9% in the </w:t>
      </w:r>
      <w:r w:rsidRPr="00580014">
        <w:rPr>
          <w:rFonts w:ascii="Times New Roman" w:hAnsi="Times New Roman" w:cs="Times New Roman"/>
          <w:i/>
          <w:sz w:val="24"/>
          <w:szCs w:val="24"/>
        </w:rPr>
        <w:t>Competition</w:t>
      </w:r>
      <w:r w:rsidRPr="00580014">
        <w:rPr>
          <w:rFonts w:ascii="Times New Roman" w:hAnsi="Times New Roman" w:cs="Times New Roman"/>
          <w:sz w:val="24"/>
          <w:szCs w:val="24"/>
        </w:rPr>
        <w:t xml:space="preserve"> treatment compared to 46% in the </w:t>
      </w:r>
      <w:r w:rsidRPr="00580014">
        <w:rPr>
          <w:rFonts w:ascii="Times New Roman" w:hAnsi="Times New Roman" w:cs="Times New Roman"/>
          <w:i/>
          <w:sz w:val="24"/>
          <w:szCs w:val="24"/>
        </w:rPr>
        <w:t>Baseline</w:t>
      </w:r>
      <w:r w:rsidRPr="00580014">
        <w:rPr>
          <w:rFonts w:ascii="Times New Roman" w:hAnsi="Times New Roman" w:cs="Times New Roman"/>
          <w:sz w:val="24"/>
          <w:szCs w:val="24"/>
        </w:rPr>
        <w:t>.  This means that the presence of a substitute parcel improved participants’ ability to capture the at-risk surplus by 41.1%.  This was primarily due to a reduction in delay.  The average duration was 2.7 periods for all negotiations and 2.1 for those where there was positive surplus available from a contract.  Wilcoxon sign rank tests indicate that these were not statistically different than our predicted averages of 2.1 and 1.7 (</w:t>
      </w:r>
      <w:r w:rsidRPr="00580014">
        <w:rPr>
          <w:rFonts w:ascii="Times New Roman" w:hAnsi="Times New Roman" w:cs="Times New Roman"/>
          <w:i/>
          <w:sz w:val="24"/>
          <w:szCs w:val="24"/>
        </w:rPr>
        <w:t>p</w:t>
      </w:r>
      <w:r w:rsidRPr="00580014">
        <w:rPr>
          <w:rFonts w:ascii="Times New Roman" w:hAnsi="Times New Roman" w:cs="Times New Roman"/>
          <w:sz w:val="24"/>
          <w:szCs w:val="24"/>
        </w:rPr>
        <w:t xml:space="preserve"> &gt; 0.2 in both cases).  As a result, participants lost 8.1% of the available surplus due to delay in the </w:t>
      </w:r>
      <w:r w:rsidRPr="00580014">
        <w:rPr>
          <w:rFonts w:ascii="Times New Roman" w:hAnsi="Times New Roman" w:cs="Times New Roman"/>
          <w:i/>
          <w:sz w:val="24"/>
          <w:szCs w:val="24"/>
        </w:rPr>
        <w:t>Competition</w:t>
      </w:r>
      <w:r w:rsidRPr="00580014">
        <w:rPr>
          <w:rFonts w:ascii="Times New Roman" w:hAnsi="Times New Roman" w:cs="Times New Roman"/>
          <w:sz w:val="24"/>
          <w:szCs w:val="24"/>
        </w:rPr>
        <w:t xml:space="preserve"> treatment compared to 15% in the </w:t>
      </w:r>
      <w:r w:rsidRPr="00580014">
        <w:rPr>
          <w:rFonts w:ascii="Times New Roman" w:hAnsi="Times New Roman" w:cs="Times New Roman"/>
          <w:i/>
          <w:sz w:val="24"/>
          <w:szCs w:val="24"/>
        </w:rPr>
        <w:t>Baseline</w:t>
      </w:r>
      <w:r w:rsidRPr="00580014">
        <w:rPr>
          <w:rFonts w:ascii="Times New Roman" w:hAnsi="Times New Roman" w:cs="Times New Roman"/>
          <w:sz w:val="24"/>
          <w:szCs w:val="24"/>
        </w:rPr>
        <w:t>.</w:t>
      </w:r>
    </w:p>
    <w:p w14:paraId="7DAD6D64" w14:textId="77777777" w:rsidR="00B31E08" w:rsidRPr="00580014" w:rsidRDefault="00D5773A">
      <w:pPr>
        <w:spacing w:line="480" w:lineRule="auto"/>
        <w:ind w:firstLine="720"/>
        <w:jc w:val="both"/>
        <w:rPr>
          <w:rFonts w:ascii="Times New Roman" w:hAnsi="Times New Roman" w:cs="Times New Roman"/>
          <w:sz w:val="24"/>
          <w:szCs w:val="24"/>
        </w:rPr>
      </w:pPr>
      <w:r w:rsidRPr="00580014">
        <w:rPr>
          <w:rFonts w:ascii="Times New Roman" w:hAnsi="Times New Roman" w:cs="Times New Roman"/>
          <w:sz w:val="24"/>
          <w:szCs w:val="24"/>
        </w:rPr>
        <w:t xml:space="preserve">Inefficient assembly failure was negligible in the </w:t>
      </w:r>
      <w:r w:rsidRPr="00580014">
        <w:rPr>
          <w:rFonts w:ascii="Times New Roman" w:hAnsi="Times New Roman" w:cs="Times New Roman"/>
          <w:i/>
          <w:sz w:val="24"/>
          <w:szCs w:val="24"/>
        </w:rPr>
        <w:t>Competition</w:t>
      </w:r>
      <w:r w:rsidRPr="00580014">
        <w:rPr>
          <w:rFonts w:ascii="Times New Roman" w:hAnsi="Times New Roman" w:cs="Times New Roman"/>
          <w:sz w:val="24"/>
          <w:szCs w:val="24"/>
        </w:rPr>
        <w:t xml:space="preserve"> treatment.  The buyer failed to make a purchase in only one of the 32 negotiations with positive surplus available.  Surprisingly, seller cave-in resulted in nine contracts in which the buyers valued the inputs less than the sellers. This represents 38.1% of the negotiations where negative-surplus assembly was possible.  Still, these contracts eliminated only 169 points of surplus, or 1.2% of the points available.</w:t>
      </w:r>
    </w:p>
    <w:p w14:paraId="014A917D" w14:textId="77777777" w:rsidR="00B31E08" w:rsidRPr="00580014" w:rsidRDefault="00D5773A">
      <w:pPr>
        <w:spacing w:line="480" w:lineRule="auto"/>
        <w:ind w:firstLine="720"/>
        <w:jc w:val="both"/>
        <w:rPr>
          <w:rFonts w:ascii="Times New Roman" w:hAnsi="Times New Roman" w:cs="Times New Roman"/>
          <w:sz w:val="24"/>
          <w:szCs w:val="24"/>
        </w:rPr>
      </w:pPr>
      <w:r w:rsidRPr="00580014">
        <w:rPr>
          <w:rFonts w:ascii="Times New Roman" w:hAnsi="Times New Roman" w:cs="Times New Roman"/>
          <w:sz w:val="24"/>
          <w:szCs w:val="24"/>
        </w:rPr>
        <w:t xml:space="preserve">In negotiations where there were positive gains from trade the buyer purchased the parcel(s) that generated the higher surplus 65.6% of the time.  This is modestly better than our prediction of 60% based on simulated negotiations.  </w:t>
      </w:r>
      <w:r w:rsidR="001C7543" w:rsidRPr="00580014">
        <w:rPr>
          <w:rFonts w:ascii="Times New Roman" w:hAnsi="Times New Roman" w:cs="Times New Roman"/>
          <w:sz w:val="24"/>
          <w:szCs w:val="24"/>
        </w:rPr>
        <w:t>Moreover, the</w:t>
      </w:r>
      <w:r w:rsidRPr="00580014">
        <w:rPr>
          <w:rFonts w:ascii="Times New Roman" w:hAnsi="Times New Roman" w:cs="Times New Roman"/>
          <w:sz w:val="24"/>
          <w:szCs w:val="24"/>
        </w:rPr>
        <w:t xml:space="preserve"> buyer made a purchase in 93.8% of negotiations where there were gains from trade, compared to our prediction of 92%.  For each negotiation where the buyer’s purchase generated less surplus than if he had negotiated an agreement with the other seller(s), we calculated the difference in surplus between the two possible contracts.  This allows us to determine the opportunity cost in efficiency from purchasing the wrong input(s).  The total opportunity cost was 304 points, which is 2.2% of the available surplus in the </w:t>
      </w:r>
      <w:r w:rsidRPr="00580014">
        <w:rPr>
          <w:rFonts w:ascii="Times New Roman" w:hAnsi="Times New Roman" w:cs="Times New Roman"/>
          <w:i/>
          <w:sz w:val="24"/>
          <w:szCs w:val="24"/>
        </w:rPr>
        <w:t>Competition</w:t>
      </w:r>
      <w:r w:rsidRPr="00580014">
        <w:rPr>
          <w:rFonts w:ascii="Times New Roman" w:hAnsi="Times New Roman" w:cs="Times New Roman"/>
          <w:sz w:val="24"/>
          <w:szCs w:val="24"/>
        </w:rPr>
        <w:t xml:space="preserve"> treatment.</w:t>
      </w:r>
    </w:p>
    <w:p w14:paraId="24BC1B23" w14:textId="77777777" w:rsidR="00B31E08" w:rsidRPr="00580014" w:rsidRDefault="00D5773A">
      <w:pPr>
        <w:spacing w:line="480" w:lineRule="auto"/>
        <w:ind w:firstLine="720"/>
        <w:jc w:val="both"/>
        <w:rPr>
          <w:rFonts w:ascii="Times New Roman" w:hAnsi="Times New Roman" w:cs="Times New Roman"/>
          <w:sz w:val="24"/>
          <w:szCs w:val="24"/>
        </w:rPr>
      </w:pPr>
      <w:r w:rsidRPr="00580014">
        <w:rPr>
          <w:rFonts w:ascii="Times New Roman" w:hAnsi="Times New Roman" w:cs="Times New Roman"/>
          <w:sz w:val="24"/>
          <w:szCs w:val="24"/>
        </w:rPr>
        <w:t xml:space="preserve">As noted above, basic efficiency was 81.4% in the </w:t>
      </w:r>
      <w:r w:rsidR="00111F0D" w:rsidRPr="00580014">
        <w:rPr>
          <w:rFonts w:ascii="Times New Roman" w:hAnsi="Times New Roman" w:cs="Times New Roman"/>
          <w:i/>
          <w:sz w:val="24"/>
          <w:szCs w:val="24"/>
        </w:rPr>
        <w:t>Eminent Domain</w:t>
      </w:r>
      <w:r w:rsidR="00111F0D" w:rsidRPr="00580014">
        <w:rPr>
          <w:rFonts w:ascii="Times New Roman" w:hAnsi="Times New Roman" w:cs="Times New Roman"/>
          <w:sz w:val="24"/>
          <w:szCs w:val="24"/>
        </w:rPr>
        <w:t xml:space="preserve"> </w:t>
      </w:r>
      <w:r w:rsidRPr="00580014">
        <w:rPr>
          <w:rFonts w:ascii="Times New Roman" w:hAnsi="Times New Roman" w:cs="Times New Roman"/>
          <w:sz w:val="24"/>
          <w:szCs w:val="24"/>
        </w:rPr>
        <w:t xml:space="preserve">treatment, which is not statistically different than </w:t>
      </w:r>
      <w:r w:rsidR="008F0A17" w:rsidRPr="00580014">
        <w:rPr>
          <w:rFonts w:ascii="Times New Roman" w:hAnsi="Times New Roman" w:cs="Times New Roman"/>
          <w:sz w:val="24"/>
          <w:szCs w:val="24"/>
        </w:rPr>
        <w:t xml:space="preserve">in </w:t>
      </w:r>
      <w:r w:rsidRPr="00580014">
        <w:rPr>
          <w:rFonts w:ascii="Times New Roman" w:hAnsi="Times New Roman" w:cs="Times New Roman"/>
          <w:sz w:val="24"/>
          <w:szCs w:val="24"/>
        </w:rPr>
        <w:t xml:space="preserve">the </w:t>
      </w:r>
      <w:r w:rsidRPr="00580014">
        <w:rPr>
          <w:rFonts w:ascii="Times New Roman" w:hAnsi="Times New Roman" w:cs="Times New Roman"/>
          <w:i/>
          <w:sz w:val="24"/>
          <w:szCs w:val="24"/>
        </w:rPr>
        <w:t>Baseline</w:t>
      </w:r>
      <w:r w:rsidRPr="00580014">
        <w:rPr>
          <w:rFonts w:ascii="Times New Roman" w:hAnsi="Times New Roman" w:cs="Times New Roman"/>
          <w:sz w:val="24"/>
          <w:szCs w:val="24"/>
        </w:rPr>
        <w:t xml:space="preserve">.  Normalized efficiency in the </w:t>
      </w:r>
      <w:r w:rsidR="00111F0D" w:rsidRPr="00580014">
        <w:rPr>
          <w:rFonts w:ascii="Times New Roman" w:hAnsi="Times New Roman" w:cs="Times New Roman"/>
          <w:i/>
          <w:sz w:val="24"/>
          <w:szCs w:val="24"/>
        </w:rPr>
        <w:t>Eminent Domain</w:t>
      </w:r>
      <w:r w:rsidR="00111F0D" w:rsidRPr="00580014">
        <w:rPr>
          <w:rFonts w:ascii="Times New Roman" w:hAnsi="Times New Roman" w:cs="Times New Roman"/>
          <w:sz w:val="24"/>
          <w:szCs w:val="24"/>
        </w:rPr>
        <w:t xml:space="preserve"> </w:t>
      </w:r>
      <w:r w:rsidRPr="00580014">
        <w:rPr>
          <w:rFonts w:ascii="Times New Roman" w:hAnsi="Times New Roman" w:cs="Times New Roman"/>
          <w:sz w:val="24"/>
          <w:szCs w:val="24"/>
        </w:rPr>
        <w:t xml:space="preserve">treatment was 69.4%, which is a 50.9% increase compared to the </w:t>
      </w:r>
      <w:r w:rsidRPr="00580014">
        <w:rPr>
          <w:rFonts w:ascii="Times New Roman" w:hAnsi="Times New Roman" w:cs="Times New Roman"/>
          <w:i/>
          <w:sz w:val="24"/>
          <w:szCs w:val="24"/>
        </w:rPr>
        <w:t>Baseline</w:t>
      </w:r>
      <w:r w:rsidRPr="00580014">
        <w:rPr>
          <w:rFonts w:ascii="Times New Roman" w:hAnsi="Times New Roman" w:cs="Times New Roman"/>
          <w:sz w:val="24"/>
          <w:szCs w:val="24"/>
        </w:rPr>
        <w:t xml:space="preserve"> normalized efficiency of 46%.  This difference is statistically significant (</w:t>
      </w:r>
      <w:r w:rsidR="00C238A5" w:rsidRPr="00580014">
        <w:rPr>
          <w:rFonts w:ascii="Times New Roman" w:hAnsi="Times New Roman" w:cs="Times New Roman"/>
          <w:sz w:val="24"/>
          <w:szCs w:val="24"/>
        </w:rPr>
        <w:t>Mann-Whitne</w:t>
      </w:r>
      <w:r w:rsidRPr="00580014">
        <w:rPr>
          <w:rFonts w:ascii="Times New Roman" w:hAnsi="Times New Roman" w:cs="Times New Roman"/>
          <w:sz w:val="24"/>
          <w:szCs w:val="24"/>
        </w:rPr>
        <w:t xml:space="preserve">y, </w:t>
      </w:r>
      <w:r w:rsidRPr="00580014">
        <w:rPr>
          <w:rFonts w:ascii="Times New Roman" w:hAnsi="Times New Roman" w:cs="Times New Roman"/>
          <w:i/>
          <w:sz w:val="24"/>
          <w:szCs w:val="24"/>
        </w:rPr>
        <w:t>p</w:t>
      </w:r>
      <w:r w:rsidRPr="00580014">
        <w:rPr>
          <w:rFonts w:ascii="Times New Roman" w:hAnsi="Times New Roman" w:cs="Times New Roman"/>
          <w:sz w:val="24"/>
          <w:szCs w:val="24"/>
        </w:rPr>
        <w:t xml:space="preserve"> = 0.002).  However, normalized efficiency is a more forgiving metric for the </w:t>
      </w:r>
      <w:r w:rsidR="00111F0D" w:rsidRPr="00580014">
        <w:rPr>
          <w:rFonts w:ascii="Times New Roman" w:hAnsi="Times New Roman" w:cs="Times New Roman"/>
          <w:i/>
          <w:sz w:val="24"/>
          <w:szCs w:val="24"/>
        </w:rPr>
        <w:t>Eminent Domain</w:t>
      </w:r>
      <w:r w:rsidR="00111F0D" w:rsidRPr="00580014">
        <w:rPr>
          <w:rFonts w:ascii="Times New Roman" w:hAnsi="Times New Roman" w:cs="Times New Roman"/>
          <w:sz w:val="24"/>
          <w:szCs w:val="24"/>
        </w:rPr>
        <w:t xml:space="preserve"> </w:t>
      </w:r>
      <w:r w:rsidRPr="00580014">
        <w:rPr>
          <w:rFonts w:ascii="Times New Roman" w:hAnsi="Times New Roman" w:cs="Times New Roman"/>
          <w:sz w:val="24"/>
          <w:szCs w:val="24"/>
        </w:rPr>
        <w:t>treatment than the other treatments.  This is because the buyer and sellers could theoretically spend almost all of the surplus in the price contest, resulting in a low</w:t>
      </w:r>
      <w:r w:rsidR="00111F0D" w:rsidRPr="00580014">
        <w:rPr>
          <w:rFonts w:ascii="Times New Roman" w:hAnsi="Times New Roman" w:cs="Times New Roman"/>
          <w:sz w:val="24"/>
          <w:szCs w:val="24"/>
        </w:rPr>
        <w:t>er</w:t>
      </w:r>
      <w:r w:rsidRPr="00580014">
        <w:rPr>
          <w:rFonts w:ascii="Times New Roman" w:hAnsi="Times New Roman" w:cs="Times New Roman"/>
          <w:sz w:val="24"/>
          <w:szCs w:val="24"/>
        </w:rPr>
        <w:t xml:space="preserve"> minimum surplus.  Thus, relatively high normalized efficiencies could be obtained in the </w:t>
      </w:r>
      <w:r w:rsidR="00111F0D" w:rsidRPr="00580014">
        <w:rPr>
          <w:rFonts w:ascii="Times New Roman" w:hAnsi="Times New Roman" w:cs="Times New Roman"/>
          <w:i/>
          <w:sz w:val="24"/>
          <w:szCs w:val="24"/>
        </w:rPr>
        <w:t>Eminent Domain</w:t>
      </w:r>
      <w:r w:rsidR="00111F0D" w:rsidRPr="00580014">
        <w:rPr>
          <w:rFonts w:ascii="Times New Roman" w:hAnsi="Times New Roman" w:cs="Times New Roman"/>
          <w:sz w:val="24"/>
          <w:szCs w:val="24"/>
        </w:rPr>
        <w:t xml:space="preserve"> </w:t>
      </w:r>
      <w:r w:rsidRPr="00580014">
        <w:rPr>
          <w:rFonts w:ascii="Times New Roman" w:hAnsi="Times New Roman" w:cs="Times New Roman"/>
          <w:sz w:val="24"/>
          <w:szCs w:val="24"/>
        </w:rPr>
        <w:t>treatment so long as the negotiating parties did not spend most of the available surplus in the contest.</w:t>
      </w:r>
    </w:p>
    <w:p w14:paraId="5F69E66E" w14:textId="77777777" w:rsidR="00B31E08" w:rsidRPr="00580014" w:rsidRDefault="00111F0D">
      <w:pPr>
        <w:spacing w:line="480" w:lineRule="auto"/>
        <w:ind w:firstLine="720"/>
        <w:jc w:val="both"/>
        <w:rPr>
          <w:rFonts w:ascii="Times New Roman" w:hAnsi="Times New Roman" w:cs="Times New Roman"/>
          <w:sz w:val="24"/>
          <w:szCs w:val="24"/>
        </w:rPr>
      </w:pPr>
      <w:r w:rsidRPr="00580014">
        <w:rPr>
          <w:rFonts w:ascii="Times New Roman" w:hAnsi="Times New Roman" w:cs="Times New Roman"/>
          <w:sz w:val="24"/>
          <w:szCs w:val="24"/>
        </w:rPr>
        <w:t>D</w:t>
      </w:r>
      <w:r w:rsidR="00D5773A" w:rsidRPr="00580014">
        <w:rPr>
          <w:rFonts w:ascii="Times New Roman" w:hAnsi="Times New Roman" w:cs="Times New Roman"/>
          <w:sz w:val="24"/>
          <w:szCs w:val="24"/>
        </w:rPr>
        <w:t xml:space="preserve">elay and failed assembly did not substantially affect </w:t>
      </w:r>
      <w:r w:rsidR="00F31552" w:rsidRPr="00580014">
        <w:rPr>
          <w:rFonts w:ascii="Times New Roman" w:hAnsi="Times New Roman" w:cs="Times New Roman"/>
          <w:sz w:val="24"/>
          <w:szCs w:val="24"/>
        </w:rPr>
        <w:t xml:space="preserve">basic </w:t>
      </w:r>
      <w:r w:rsidR="00D5773A" w:rsidRPr="00580014">
        <w:rPr>
          <w:rFonts w:ascii="Times New Roman" w:hAnsi="Times New Roman" w:cs="Times New Roman"/>
          <w:sz w:val="24"/>
          <w:szCs w:val="24"/>
        </w:rPr>
        <w:t xml:space="preserve">efficiency in the </w:t>
      </w:r>
      <w:r w:rsidRPr="00580014">
        <w:rPr>
          <w:rFonts w:ascii="Times New Roman" w:hAnsi="Times New Roman" w:cs="Times New Roman"/>
          <w:i/>
          <w:sz w:val="24"/>
          <w:szCs w:val="24"/>
        </w:rPr>
        <w:t>Eminent Domain</w:t>
      </w:r>
      <w:r w:rsidRPr="00580014">
        <w:rPr>
          <w:rFonts w:ascii="Times New Roman" w:hAnsi="Times New Roman" w:cs="Times New Roman"/>
          <w:sz w:val="24"/>
          <w:szCs w:val="24"/>
        </w:rPr>
        <w:t xml:space="preserve"> </w:t>
      </w:r>
      <w:r w:rsidR="00D5773A" w:rsidRPr="00580014">
        <w:rPr>
          <w:rFonts w:ascii="Times New Roman" w:hAnsi="Times New Roman" w:cs="Times New Roman"/>
          <w:sz w:val="24"/>
          <w:szCs w:val="24"/>
        </w:rPr>
        <w:t xml:space="preserve">treatment.  Only two negotiations </w:t>
      </w:r>
      <w:r w:rsidRPr="00580014">
        <w:rPr>
          <w:rFonts w:ascii="Times New Roman" w:hAnsi="Times New Roman" w:cs="Times New Roman"/>
          <w:sz w:val="24"/>
          <w:szCs w:val="24"/>
        </w:rPr>
        <w:t>failed to</w:t>
      </w:r>
      <w:r w:rsidR="00D5773A" w:rsidRPr="00580014">
        <w:rPr>
          <w:rFonts w:ascii="Times New Roman" w:hAnsi="Times New Roman" w:cs="Times New Roman"/>
          <w:sz w:val="24"/>
          <w:szCs w:val="24"/>
        </w:rPr>
        <w:t xml:space="preserve"> result in assembly because the buyer could not afford to force both sellers to sell.  In both of these negotiations the sellers valued their inputs more than the seller, so no points were lost from assembly failure.  The average duration was 1.4 periods for all negotiations and 1.2 periods for negotiations with gains from trade.  As a result, only 157 points (1.9% of available surplus) were lost due to delay.</w:t>
      </w:r>
    </w:p>
    <w:p w14:paraId="7CB9F1B2" w14:textId="77777777" w:rsidR="00B31E08" w:rsidRPr="00580014" w:rsidRDefault="00D5773A">
      <w:pPr>
        <w:spacing w:line="480" w:lineRule="auto"/>
        <w:ind w:firstLine="720"/>
        <w:jc w:val="both"/>
        <w:rPr>
          <w:rFonts w:ascii="Times New Roman" w:hAnsi="Times New Roman" w:cs="Times New Roman"/>
          <w:sz w:val="24"/>
          <w:szCs w:val="24"/>
        </w:rPr>
      </w:pPr>
      <w:r w:rsidRPr="00580014">
        <w:rPr>
          <w:rFonts w:ascii="Times New Roman" w:hAnsi="Times New Roman" w:cs="Times New Roman"/>
          <w:sz w:val="24"/>
          <w:szCs w:val="24"/>
        </w:rPr>
        <w:t>However, spending in the price contest was more than 200% higher than predicted.  In theory the buyer and seller should both spend five points.  In fact, buyers spent an average of 15.7 points and sellers an average of 15.9 points.  These high averages were due in part to very high spending by a few participants.  However, median spending was 10 points for both buyers and sellers; 100% higher than equilibrium.  Wilcoxon sign rank tests find that spending was statistically higher than equilibrium for buyers and sellers (</w:t>
      </w:r>
      <w:r w:rsidRPr="00580014">
        <w:rPr>
          <w:rFonts w:ascii="Times New Roman" w:hAnsi="Times New Roman" w:cs="Times New Roman"/>
          <w:i/>
          <w:sz w:val="24"/>
          <w:szCs w:val="24"/>
        </w:rPr>
        <w:t>p</w:t>
      </w:r>
      <w:r w:rsidRPr="00580014">
        <w:rPr>
          <w:rFonts w:ascii="Times New Roman" w:hAnsi="Times New Roman" w:cs="Times New Roman"/>
          <w:sz w:val="24"/>
          <w:szCs w:val="24"/>
        </w:rPr>
        <w:t xml:space="preserve"> &lt; 0.01 for both roles).  </w:t>
      </w:r>
      <w:r w:rsidR="00B31E08" w:rsidRPr="00580014">
        <w:rPr>
          <w:rFonts w:ascii="Times New Roman" w:hAnsi="Times New Roman" w:cs="Times New Roman"/>
          <w:sz w:val="24"/>
          <w:szCs w:val="24"/>
        </w:rPr>
        <w:t xml:space="preserve">This is consistent with prior studies </w:t>
      </w:r>
      <w:r w:rsidR="00A1237B" w:rsidRPr="00580014">
        <w:rPr>
          <w:rFonts w:ascii="Times New Roman" w:hAnsi="Times New Roman" w:cs="Times New Roman"/>
          <w:sz w:val="24"/>
          <w:szCs w:val="24"/>
        </w:rPr>
        <w:t>on spending in Tullock Contests (see Dechenaux, Kovenock and Sheremeta, 2012)</w:t>
      </w:r>
    </w:p>
    <w:p w14:paraId="047A3932" w14:textId="77777777" w:rsidR="00B31E08" w:rsidRPr="005402F3" w:rsidRDefault="00D5773A">
      <w:pPr>
        <w:spacing w:line="480" w:lineRule="auto"/>
        <w:ind w:firstLine="720"/>
        <w:jc w:val="both"/>
        <w:rPr>
          <w:rFonts w:ascii="Times New Roman" w:hAnsi="Times New Roman" w:cs="Times New Roman"/>
          <w:sz w:val="24"/>
          <w:szCs w:val="24"/>
        </w:rPr>
      </w:pPr>
      <w:r w:rsidRPr="00580014">
        <w:rPr>
          <w:rFonts w:ascii="Times New Roman" w:hAnsi="Times New Roman" w:cs="Times New Roman"/>
          <w:sz w:val="24"/>
          <w:szCs w:val="24"/>
        </w:rPr>
        <w:t xml:space="preserve">Theoretically, sellers should accept any offer of 45 points or higher, and the average first offer in the </w:t>
      </w:r>
      <w:r w:rsidR="00111F0D" w:rsidRPr="00580014">
        <w:rPr>
          <w:rFonts w:ascii="Times New Roman" w:hAnsi="Times New Roman" w:cs="Times New Roman"/>
          <w:i/>
          <w:sz w:val="24"/>
          <w:szCs w:val="24"/>
        </w:rPr>
        <w:t xml:space="preserve">Eminent Domain </w:t>
      </w:r>
      <w:r w:rsidRPr="00580014">
        <w:rPr>
          <w:rFonts w:ascii="Times New Roman" w:hAnsi="Times New Roman" w:cs="Times New Roman"/>
          <w:sz w:val="24"/>
          <w:szCs w:val="24"/>
        </w:rPr>
        <w:t xml:space="preserve">treatment was 56 points.  Consequently, we would expect litigation to be infrequent, but that was not the case.  The buyer invoked eminent domain against at least one seller in 44.4% of negotiations and against both sellers in 11.1% of negotiations.  As a result, participants spent 1,149 points trying to determine the fair market price.  This accounts for 73.9% of all points lost in the </w:t>
      </w:r>
      <w:r w:rsidR="00111F0D" w:rsidRPr="00580014">
        <w:rPr>
          <w:rFonts w:ascii="Times New Roman" w:hAnsi="Times New Roman" w:cs="Times New Roman"/>
          <w:i/>
          <w:sz w:val="24"/>
          <w:szCs w:val="24"/>
        </w:rPr>
        <w:t>Eminent Domain</w:t>
      </w:r>
      <w:r w:rsidR="00111F0D" w:rsidRPr="00580014">
        <w:rPr>
          <w:rFonts w:ascii="Times New Roman" w:hAnsi="Times New Roman" w:cs="Times New Roman"/>
          <w:sz w:val="24"/>
          <w:szCs w:val="24"/>
        </w:rPr>
        <w:t xml:space="preserve"> </w:t>
      </w:r>
      <w:r w:rsidRPr="00580014">
        <w:rPr>
          <w:rFonts w:ascii="Times New Roman" w:hAnsi="Times New Roman" w:cs="Times New Roman"/>
          <w:sz w:val="24"/>
          <w:szCs w:val="24"/>
        </w:rPr>
        <w:t xml:space="preserve">treatment and 13.7% of the maximum available surplus.  Notice that this is almost the same amount of surplus that was lost due to delay in the </w:t>
      </w:r>
      <w:r w:rsidRPr="00580014">
        <w:rPr>
          <w:rFonts w:ascii="Times New Roman" w:hAnsi="Times New Roman" w:cs="Times New Roman"/>
          <w:i/>
          <w:sz w:val="24"/>
          <w:szCs w:val="24"/>
        </w:rPr>
        <w:t>Baseline</w:t>
      </w:r>
      <w:r w:rsidRPr="00580014">
        <w:rPr>
          <w:rFonts w:ascii="Times New Roman" w:hAnsi="Times New Roman" w:cs="Times New Roman"/>
          <w:sz w:val="24"/>
          <w:szCs w:val="24"/>
        </w:rPr>
        <w:t>.  Thus, what eminent domain gave through faster negotiation it took through influence costs.</w:t>
      </w:r>
    </w:p>
    <w:p w14:paraId="5FF0ECA2" w14:textId="77777777" w:rsidR="00D5773A" w:rsidRPr="005402F3" w:rsidRDefault="00D5773A" w:rsidP="00580014">
      <w:pPr>
        <w:spacing w:after="0" w:line="480" w:lineRule="auto"/>
        <w:rPr>
          <w:rFonts w:ascii="Times New Roman" w:eastAsiaTheme="minorEastAsia" w:hAnsi="Times New Roman" w:cs="Times New Roman"/>
          <w:b/>
          <w:sz w:val="24"/>
          <w:szCs w:val="24"/>
        </w:rPr>
      </w:pPr>
      <w:r w:rsidRPr="005402F3">
        <w:rPr>
          <w:rFonts w:ascii="Times New Roman" w:eastAsiaTheme="minorEastAsia" w:hAnsi="Times New Roman" w:cs="Times New Roman"/>
          <w:b/>
          <w:sz w:val="24"/>
          <w:szCs w:val="24"/>
        </w:rPr>
        <w:t xml:space="preserve">VI. </w:t>
      </w:r>
      <w:r w:rsidR="00C04032" w:rsidRPr="005402F3">
        <w:rPr>
          <w:rFonts w:ascii="Times New Roman" w:eastAsiaTheme="minorEastAsia" w:hAnsi="Times New Roman" w:cs="Times New Roman"/>
          <w:b/>
          <w:sz w:val="24"/>
          <w:szCs w:val="24"/>
        </w:rPr>
        <w:t xml:space="preserve">General </w:t>
      </w:r>
      <w:r w:rsidRPr="005402F3">
        <w:rPr>
          <w:rFonts w:ascii="Times New Roman" w:eastAsiaTheme="minorEastAsia" w:hAnsi="Times New Roman" w:cs="Times New Roman"/>
          <w:b/>
          <w:sz w:val="24"/>
          <w:szCs w:val="24"/>
        </w:rPr>
        <w:t>Discussion</w:t>
      </w:r>
    </w:p>
    <w:p w14:paraId="38B2E8E8" w14:textId="77777777" w:rsidR="00580014" w:rsidRPr="005402F3" w:rsidRDefault="00580014" w:rsidP="00580014">
      <w:pPr>
        <w:pStyle w:val="ListParagraph"/>
        <w:numPr>
          <w:ilvl w:val="0"/>
          <w:numId w:val="3"/>
        </w:numPr>
        <w:spacing w:after="0" w:line="480" w:lineRule="auto"/>
        <w:ind w:left="360"/>
        <w:jc w:val="both"/>
        <w:rPr>
          <w:rFonts w:ascii="Times New Roman" w:eastAsiaTheme="minorEastAsia" w:hAnsi="Times New Roman" w:cs="Times New Roman"/>
          <w:i/>
          <w:sz w:val="24"/>
          <w:szCs w:val="24"/>
        </w:rPr>
      </w:pPr>
      <w:r w:rsidRPr="005402F3">
        <w:rPr>
          <w:rFonts w:ascii="Times New Roman" w:eastAsiaTheme="minorEastAsia" w:hAnsi="Times New Roman" w:cs="Times New Roman"/>
          <w:i/>
          <w:sz w:val="24"/>
          <w:szCs w:val="24"/>
        </w:rPr>
        <w:t>Implications for Land Assembly and Eminent Domain</w:t>
      </w:r>
    </w:p>
    <w:p w14:paraId="429DCEE5" w14:textId="77777777" w:rsidR="00B31E08" w:rsidRPr="00580014" w:rsidRDefault="00BA1288" w:rsidP="00580014">
      <w:pPr>
        <w:spacing w:after="0" w:line="480" w:lineRule="auto"/>
        <w:ind w:firstLine="720"/>
        <w:jc w:val="both"/>
        <w:rPr>
          <w:rFonts w:ascii="Times New Roman" w:eastAsiaTheme="minorEastAsia" w:hAnsi="Times New Roman" w:cs="Times New Roman"/>
          <w:sz w:val="24"/>
          <w:szCs w:val="24"/>
        </w:rPr>
      </w:pPr>
      <w:r w:rsidRPr="005402F3">
        <w:rPr>
          <w:rFonts w:ascii="Times New Roman" w:eastAsiaTheme="minorEastAsia" w:hAnsi="Times New Roman" w:cs="Times New Roman"/>
          <w:sz w:val="24"/>
          <w:szCs w:val="24"/>
        </w:rPr>
        <w:t>T</w:t>
      </w:r>
      <w:r w:rsidR="004C297A" w:rsidRPr="005402F3">
        <w:rPr>
          <w:rFonts w:ascii="Times New Roman" w:eastAsiaTheme="minorEastAsia" w:hAnsi="Times New Roman" w:cs="Times New Roman"/>
          <w:sz w:val="24"/>
          <w:szCs w:val="24"/>
        </w:rPr>
        <w:t xml:space="preserve">he current findings push our understanding about eminent domain and collective action in </w:t>
      </w:r>
      <w:r w:rsidR="00CD5B10" w:rsidRPr="005402F3">
        <w:rPr>
          <w:rFonts w:ascii="Times New Roman" w:eastAsiaTheme="minorEastAsia" w:hAnsi="Times New Roman" w:cs="Times New Roman"/>
          <w:sz w:val="24"/>
          <w:szCs w:val="24"/>
        </w:rPr>
        <w:t>three</w:t>
      </w:r>
      <w:r w:rsidR="004C297A" w:rsidRPr="005402F3">
        <w:rPr>
          <w:rFonts w:ascii="Times New Roman" w:eastAsiaTheme="minorEastAsia" w:hAnsi="Times New Roman" w:cs="Times New Roman"/>
          <w:sz w:val="24"/>
          <w:szCs w:val="24"/>
        </w:rPr>
        <w:t xml:space="preserve"> ways.  </w:t>
      </w:r>
      <w:r w:rsidR="00CD5B10" w:rsidRPr="005402F3">
        <w:rPr>
          <w:rFonts w:ascii="Times New Roman" w:eastAsiaTheme="minorEastAsia" w:hAnsi="Times New Roman" w:cs="Times New Roman"/>
          <w:sz w:val="24"/>
          <w:szCs w:val="24"/>
        </w:rPr>
        <w:t>First, we find that – contrary to the conventional wisdom</w:t>
      </w:r>
      <w:r w:rsidR="00CD5B10" w:rsidRPr="00580014">
        <w:rPr>
          <w:rFonts w:ascii="Times New Roman" w:eastAsiaTheme="minorEastAsia" w:hAnsi="Times New Roman" w:cs="Times New Roman"/>
          <w:sz w:val="24"/>
          <w:szCs w:val="24"/>
        </w:rPr>
        <w:t xml:space="preserve"> – seller holdout is not very common, nor is it for very large sums, even when the buyer has no alternative to assembly or recourse to eminent domain.  </w:t>
      </w:r>
      <w:r w:rsidR="00D87DF7" w:rsidRPr="00580014">
        <w:rPr>
          <w:rFonts w:ascii="Times New Roman" w:eastAsiaTheme="minorEastAsia" w:hAnsi="Times New Roman" w:cs="Times New Roman"/>
          <w:sz w:val="24"/>
          <w:szCs w:val="24"/>
        </w:rPr>
        <w:t>Rather</w:t>
      </w:r>
      <w:r w:rsidR="00CD5B10" w:rsidRPr="00580014">
        <w:rPr>
          <w:rFonts w:ascii="Times New Roman" w:eastAsiaTheme="minorEastAsia" w:hAnsi="Times New Roman" w:cs="Times New Roman"/>
          <w:sz w:val="24"/>
          <w:szCs w:val="24"/>
        </w:rPr>
        <w:t xml:space="preserve">, in our experiments it is </w:t>
      </w:r>
      <w:r w:rsidR="003555C8" w:rsidRPr="00580014">
        <w:rPr>
          <w:rFonts w:ascii="Times New Roman" w:eastAsiaTheme="minorEastAsia" w:hAnsi="Times New Roman" w:cs="Times New Roman"/>
          <w:sz w:val="24"/>
          <w:szCs w:val="24"/>
        </w:rPr>
        <w:t xml:space="preserve">primarily </w:t>
      </w:r>
      <w:r w:rsidR="00CD5B10" w:rsidRPr="00580014">
        <w:rPr>
          <w:rFonts w:ascii="Times New Roman" w:eastAsiaTheme="minorEastAsia" w:hAnsi="Times New Roman" w:cs="Times New Roman"/>
          <w:sz w:val="24"/>
          <w:szCs w:val="24"/>
        </w:rPr>
        <w:t xml:space="preserve">the buyers who </w:t>
      </w:r>
      <w:r w:rsidR="00D87DF7" w:rsidRPr="00580014">
        <w:rPr>
          <w:rFonts w:ascii="Times New Roman" w:eastAsiaTheme="minorEastAsia" w:hAnsi="Times New Roman" w:cs="Times New Roman"/>
          <w:sz w:val="24"/>
          <w:szCs w:val="24"/>
        </w:rPr>
        <w:t>hold out for an outsized share of the surplus by making offers that are below the profit maximizing level.  It seems a perverse response under such circumstances to give a buyer the right to cut short the bargaining process and force the sale of property.</w:t>
      </w:r>
    </w:p>
    <w:p w14:paraId="3B16ED06" w14:textId="77777777" w:rsidR="00B31E08" w:rsidRPr="00580014" w:rsidRDefault="00D87DF7">
      <w:pPr>
        <w:spacing w:line="480" w:lineRule="auto"/>
        <w:ind w:firstLine="720"/>
        <w:jc w:val="both"/>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 xml:space="preserve">Second, eminent domain </w:t>
      </w:r>
      <w:r w:rsidR="003555C8" w:rsidRPr="00580014">
        <w:rPr>
          <w:rFonts w:ascii="Times New Roman" w:eastAsiaTheme="minorEastAsia" w:hAnsi="Times New Roman" w:cs="Times New Roman"/>
          <w:sz w:val="24"/>
          <w:szCs w:val="24"/>
        </w:rPr>
        <w:t xml:space="preserve">did not </w:t>
      </w:r>
      <w:r w:rsidRPr="00580014">
        <w:rPr>
          <w:rFonts w:ascii="Times New Roman" w:eastAsiaTheme="minorEastAsia" w:hAnsi="Times New Roman" w:cs="Times New Roman"/>
          <w:sz w:val="24"/>
          <w:szCs w:val="24"/>
        </w:rPr>
        <w:t>enhance the efficiency of negotiated outcomes</w:t>
      </w:r>
      <w:r w:rsidR="003555C8" w:rsidRPr="00580014">
        <w:rPr>
          <w:rFonts w:ascii="Times New Roman" w:eastAsiaTheme="minorEastAsia" w:hAnsi="Times New Roman" w:cs="Times New Roman"/>
          <w:sz w:val="24"/>
          <w:szCs w:val="24"/>
        </w:rPr>
        <w:t>.</w:t>
      </w:r>
      <w:r w:rsidRPr="00580014">
        <w:rPr>
          <w:rFonts w:ascii="Times New Roman" w:eastAsiaTheme="minorEastAsia" w:hAnsi="Times New Roman" w:cs="Times New Roman"/>
          <w:sz w:val="24"/>
          <w:szCs w:val="24"/>
        </w:rPr>
        <w:t xml:space="preserve"> </w:t>
      </w:r>
      <w:r w:rsidR="003555C8" w:rsidRPr="00580014">
        <w:rPr>
          <w:rFonts w:ascii="Times New Roman" w:eastAsiaTheme="minorEastAsia" w:hAnsi="Times New Roman" w:cs="Times New Roman"/>
          <w:sz w:val="24"/>
          <w:szCs w:val="24"/>
        </w:rPr>
        <w:t xml:space="preserve"> T</w:t>
      </w:r>
      <w:r w:rsidRPr="00580014">
        <w:rPr>
          <w:rFonts w:ascii="Times New Roman" w:eastAsiaTheme="minorEastAsia" w:hAnsi="Times New Roman" w:cs="Times New Roman"/>
          <w:sz w:val="24"/>
          <w:szCs w:val="24"/>
        </w:rPr>
        <w:t xml:space="preserve">he surplus that was saved by avoiding delay was spent in litigation costs.  One possible policy response would be to curtail or eliminate the degree to which litigants can influence the price of condemned property.  Yet such a policy </w:t>
      </w:r>
      <w:r w:rsidR="005A5D64" w:rsidRPr="00580014">
        <w:rPr>
          <w:rFonts w:ascii="Times New Roman" w:eastAsiaTheme="minorEastAsia" w:hAnsi="Times New Roman" w:cs="Times New Roman"/>
          <w:sz w:val="24"/>
          <w:szCs w:val="24"/>
        </w:rPr>
        <w:t>would run</w:t>
      </w:r>
      <w:r w:rsidRPr="00580014">
        <w:rPr>
          <w:rFonts w:ascii="Times New Roman" w:eastAsiaTheme="minorEastAsia" w:hAnsi="Times New Roman" w:cs="Times New Roman"/>
          <w:sz w:val="24"/>
          <w:szCs w:val="24"/>
        </w:rPr>
        <w:t xml:space="preserve"> directly counter to democratic principles of due process, and it would </w:t>
      </w:r>
      <w:r w:rsidR="005A5D64" w:rsidRPr="00580014">
        <w:rPr>
          <w:rFonts w:ascii="Times New Roman" w:eastAsiaTheme="minorEastAsia" w:hAnsi="Times New Roman" w:cs="Times New Roman"/>
          <w:sz w:val="24"/>
          <w:szCs w:val="24"/>
        </w:rPr>
        <w:t xml:space="preserve">also </w:t>
      </w:r>
      <w:r w:rsidRPr="00580014">
        <w:rPr>
          <w:rFonts w:ascii="Times New Roman" w:eastAsiaTheme="minorEastAsia" w:hAnsi="Times New Roman" w:cs="Times New Roman"/>
          <w:sz w:val="24"/>
          <w:szCs w:val="24"/>
        </w:rPr>
        <w:t xml:space="preserve">open landowners </w:t>
      </w:r>
      <w:r w:rsidR="004D47D4" w:rsidRPr="00580014">
        <w:rPr>
          <w:rFonts w:ascii="Times New Roman" w:eastAsiaTheme="minorEastAsia" w:hAnsi="Times New Roman" w:cs="Times New Roman"/>
          <w:sz w:val="24"/>
          <w:szCs w:val="24"/>
        </w:rPr>
        <w:t xml:space="preserve">to predatory behavior on the part of government officials.  </w:t>
      </w:r>
      <w:r w:rsidR="005A5D64" w:rsidRPr="00580014">
        <w:rPr>
          <w:rFonts w:ascii="Times New Roman" w:eastAsiaTheme="minorEastAsia" w:hAnsi="Times New Roman" w:cs="Times New Roman"/>
          <w:sz w:val="24"/>
          <w:szCs w:val="24"/>
        </w:rPr>
        <w:t xml:space="preserve">An alternative policy response would be to place a high burden on the party invoking eminent domain </w:t>
      </w:r>
      <w:r w:rsidR="003B3E2F" w:rsidRPr="00580014">
        <w:rPr>
          <w:rFonts w:ascii="Times New Roman" w:eastAsiaTheme="minorEastAsia" w:hAnsi="Times New Roman" w:cs="Times New Roman"/>
          <w:sz w:val="24"/>
          <w:szCs w:val="24"/>
        </w:rPr>
        <w:t>to demonstrate that gain in surplus from assembling the properties is very large.  Eminent domain ought not to be invoked to achieve modest improvements in land use due to the risk that influence costs will meet or exceed the gains from trade.</w:t>
      </w:r>
    </w:p>
    <w:p w14:paraId="798FE41B" w14:textId="77777777" w:rsidR="00B31E08" w:rsidRPr="00580014" w:rsidRDefault="00580014">
      <w:pPr>
        <w:spacing w:line="480" w:lineRule="auto"/>
        <w:ind w:firstLine="720"/>
        <w:jc w:val="both"/>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Third</w:t>
      </w:r>
      <w:r w:rsidR="003B3E2F" w:rsidRPr="00580014">
        <w:rPr>
          <w:rFonts w:ascii="Times New Roman" w:eastAsiaTheme="minorEastAsia" w:hAnsi="Times New Roman" w:cs="Times New Roman"/>
          <w:sz w:val="24"/>
          <w:szCs w:val="24"/>
        </w:rPr>
        <w:t>, we find that even weak competition is sufficient to break down seller holdout and improve economic efficiency.  When our buyers had an outside option to assembling the primary sellers’ parcels</w:t>
      </w:r>
      <w:r w:rsidR="00F70D2E" w:rsidRPr="00580014">
        <w:rPr>
          <w:rFonts w:ascii="Times New Roman" w:eastAsiaTheme="minorEastAsia" w:hAnsi="Times New Roman" w:cs="Times New Roman"/>
          <w:sz w:val="24"/>
          <w:szCs w:val="24"/>
        </w:rPr>
        <w:t>,</w:t>
      </w:r>
      <w:r w:rsidR="003B3E2F" w:rsidRPr="00580014">
        <w:rPr>
          <w:rFonts w:ascii="Times New Roman" w:eastAsiaTheme="minorEastAsia" w:hAnsi="Times New Roman" w:cs="Times New Roman"/>
          <w:sz w:val="24"/>
          <w:szCs w:val="24"/>
        </w:rPr>
        <w:t xml:space="preserve"> seller holdout was not statistically higher than when the buyers could force a sale.  Having an available substitute also increased the buyers’ offers relative to the theoretical equilibrium.  As a result</w:t>
      </w:r>
      <w:r w:rsidR="00E602D5" w:rsidRPr="00580014">
        <w:rPr>
          <w:rFonts w:ascii="Times New Roman" w:eastAsiaTheme="minorEastAsia" w:hAnsi="Times New Roman" w:cs="Times New Roman"/>
          <w:sz w:val="24"/>
          <w:szCs w:val="24"/>
        </w:rPr>
        <w:t xml:space="preserve"> of an available substitute</w:t>
      </w:r>
      <w:r w:rsidR="003B3E2F" w:rsidRPr="00580014">
        <w:rPr>
          <w:rFonts w:ascii="Times New Roman" w:eastAsiaTheme="minorEastAsia" w:hAnsi="Times New Roman" w:cs="Times New Roman"/>
          <w:sz w:val="24"/>
          <w:szCs w:val="24"/>
        </w:rPr>
        <w:t xml:space="preserve">, </w:t>
      </w:r>
      <w:r w:rsidR="00746B20" w:rsidRPr="00580014">
        <w:rPr>
          <w:rFonts w:ascii="Times New Roman" w:eastAsiaTheme="minorEastAsia" w:hAnsi="Times New Roman" w:cs="Times New Roman"/>
          <w:sz w:val="24"/>
          <w:szCs w:val="24"/>
        </w:rPr>
        <w:t xml:space="preserve">the duration of negotiations fell by 35.7% overall (from 4.2 periods to 2.7 periods) and almost no surplus was lost due to assembly failure.  </w:t>
      </w:r>
      <w:r w:rsidR="00BB613C" w:rsidRPr="00580014">
        <w:rPr>
          <w:rFonts w:ascii="Times New Roman" w:eastAsiaTheme="minorEastAsia" w:hAnsi="Times New Roman" w:cs="Times New Roman"/>
          <w:sz w:val="24"/>
          <w:szCs w:val="24"/>
        </w:rPr>
        <w:t>Comparing weak competition to eminent domain with a litigation process, participants captured 8</w:t>
      </w:r>
      <w:r w:rsidR="00660C50" w:rsidRPr="00580014">
        <w:rPr>
          <w:rFonts w:ascii="Times New Roman" w:eastAsiaTheme="minorEastAsia" w:hAnsi="Times New Roman" w:cs="Times New Roman"/>
          <w:sz w:val="24"/>
          <w:szCs w:val="24"/>
        </w:rPr>
        <w:t xml:space="preserve"> percentage points</w:t>
      </w:r>
      <w:r w:rsidR="00BB613C" w:rsidRPr="00580014">
        <w:rPr>
          <w:rFonts w:ascii="Times New Roman" w:eastAsiaTheme="minorEastAsia" w:hAnsi="Times New Roman" w:cs="Times New Roman"/>
          <w:sz w:val="24"/>
          <w:szCs w:val="24"/>
        </w:rPr>
        <w:t xml:space="preserve"> more of the maximum available surplus under competition and a statistically indistinguishable share of the at-risk surplus.</w:t>
      </w:r>
    </w:p>
    <w:p w14:paraId="202ED35A" w14:textId="77777777" w:rsidR="00B31E08" w:rsidRPr="00580014" w:rsidRDefault="007223B1" w:rsidP="00C04032">
      <w:pPr>
        <w:spacing w:line="480" w:lineRule="auto"/>
        <w:ind w:firstLine="720"/>
        <w:jc w:val="both"/>
        <w:rPr>
          <w:rFonts w:ascii="Times New Roman" w:eastAsiaTheme="minorEastAsia" w:hAnsi="Times New Roman" w:cs="Times New Roman"/>
          <w:sz w:val="24"/>
          <w:szCs w:val="24"/>
        </w:rPr>
      </w:pPr>
      <w:r w:rsidRPr="00580014">
        <w:rPr>
          <w:rFonts w:ascii="Times New Roman" w:eastAsiaTheme="minorEastAsia" w:hAnsi="Times New Roman" w:cs="Times New Roman"/>
          <w:sz w:val="24"/>
          <w:szCs w:val="24"/>
        </w:rPr>
        <w:t>The</w:t>
      </w:r>
      <w:r w:rsidR="004F4EA3" w:rsidRPr="00580014">
        <w:rPr>
          <w:rFonts w:ascii="Times New Roman" w:eastAsiaTheme="minorEastAsia" w:hAnsi="Times New Roman" w:cs="Times New Roman"/>
          <w:sz w:val="24"/>
          <w:szCs w:val="24"/>
        </w:rPr>
        <w:t xml:space="preserve"> result </w:t>
      </w:r>
      <w:r w:rsidRPr="00580014">
        <w:rPr>
          <w:rFonts w:ascii="Times New Roman" w:eastAsiaTheme="minorEastAsia" w:hAnsi="Times New Roman" w:cs="Times New Roman"/>
          <w:sz w:val="24"/>
          <w:szCs w:val="24"/>
        </w:rPr>
        <w:t xml:space="preserve">that weak competition helps to navigate seller holdout </w:t>
      </w:r>
      <w:r w:rsidR="004F4EA3" w:rsidRPr="00580014">
        <w:rPr>
          <w:rFonts w:ascii="Times New Roman" w:eastAsiaTheme="minorEastAsia" w:hAnsi="Times New Roman" w:cs="Times New Roman"/>
          <w:sz w:val="24"/>
          <w:szCs w:val="24"/>
        </w:rPr>
        <w:t xml:space="preserve">strengthens the findings of Cadigan et al. (2011) and Parente and Winn (2012) that competition among sellers makes land assembly quite easy.  Notice that in their studies the sellers competed with perfect substitutes, while in the present study the buyer incurred a 20% loss in value from buying the alternative parcel.  A straightforward implication for policy is that eminent domain should be restricted to cases where the assembling agent has no viable alternative to assembling a single set of properties.  An example would be the construction of a road through a mountain range with a single pass.  If the land along that pass is owned by multiple parties then eminent domain may be necessary to prevent strategic holdout from thwarting efficient assembly.  </w:t>
      </w:r>
      <w:r w:rsidR="00421882" w:rsidRPr="00580014">
        <w:rPr>
          <w:rFonts w:ascii="Times New Roman" w:eastAsiaTheme="minorEastAsia" w:hAnsi="Times New Roman" w:cs="Times New Roman"/>
          <w:sz w:val="24"/>
          <w:szCs w:val="24"/>
        </w:rPr>
        <w:t>But suppose there is a second pass that is less suitable for a road, perhaps because it is further from the existing infrastructure or takes a more circuitous route through the mountains.  In this case eminent domain is less likely to be justified because an element of competition has been introduced which will break down seller holdout.</w:t>
      </w:r>
    </w:p>
    <w:p w14:paraId="3F6EDAC5" w14:textId="4BA8E49C" w:rsidR="00580014" w:rsidRPr="005402F3" w:rsidRDefault="00580014" w:rsidP="00C04032">
      <w:pPr>
        <w:spacing w:line="480" w:lineRule="auto"/>
        <w:jc w:val="both"/>
        <w:rPr>
          <w:rFonts w:ascii="Times New Roman" w:hAnsi="Times New Roman" w:cs="Times New Roman"/>
          <w:i/>
          <w:sz w:val="24"/>
          <w:szCs w:val="24"/>
        </w:rPr>
      </w:pPr>
      <w:r w:rsidRPr="005402F3">
        <w:rPr>
          <w:rFonts w:ascii="Times New Roman" w:hAnsi="Times New Roman" w:cs="Times New Roman"/>
          <w:i/>
          <w:sz w:val="24"/>
          <w:szCs w:val="24"/>
        </w:rPr>
        <w:t xml:space="preserve">B. Implications for </w:t>
      </w:r>
      <w:r w:rsidR="005402F3">
        <w:rPr>
          <w:rFonts w:ascii="Times New Roman" w:hAnsi="Times New Roman" w:cs="Times New Roman"/>
          <w:i/>
          <w:sz w:val="24"/>
          <w:szCs w:val="24"/>
        </w:rPr>
        <w:t xml:space="preserve">the </w:t>
      </w:r>
      <w:r w:rsidRPr="005402F3">
        <w:rPr>
          <w:rFonts w:ascii="Times New Roman" w:hAnsi="Times New Roman" w:cs="Times New Roman"/>
          <w:i/>
          <w:sz w:val="24"/>
          <w:szCs w:val="24"/>
        </w:rPr>
        <w:t>Social Dilemma</w:t>
      </w:r>
      <w:r w:rsidR="005402F3">
        <w:rPr>
          <w:rFonts w:ascii="Times New Roman" w:hAnsi="Times New Roman" w:cs="Times New Roman"/>
          <w:i/>
          <w:sz w:val="24"/>
          <w:szCs w:val="24"/>
        </w:rPr>
        <w:t xml:space="preserve"> of the Tragedy of the Anticommons</w:t>
      </w:r>
    </w:p>
    <w:p w14:paraId="1ACB7E73" w14:textId="5B826D37" w:rsidR="00580014" w:rsidRPr="005402F3" w:rsidRDefault="00580014" w:rsidP="00C04032">
      <w:pPr>
        <w:spacing w:line="480" w:lineRule="auto"/>
        <w:ind w:firstLine="720"/>
        <w:jc w:val="both"/>
        <w:rPr>
          <w:rFonts w:ascii="Times New Roman" w:hAnsi="Times New Roman" w:cs="Times New Roman"/>
          <w:sz w:val="24"/>
          <w:szCs w:val="24"/>
        </w:rPr>
      </w:pPr>
      <w:r w:rsidRPr="005402F3">
        <w:rPr>
          <w:rFonts w:ascii="Times New Roman" w:hAnsi="Times New Roman" w:cs="Times New Roman"/>
          <w:sz w:val="24"/>
          <w:szCs w:val="24"/>
        </w:rPr>
        <w:t xml:space="preserve">Our </w:t>
      </w:r>
      <w:r w:rsidR="00F152D7" w:rsidRPr="005402F3">
        <w:rPr>
          <w:rFonts w:ascii="Times New Roman" w:hAnsi="Times New Roman" w:cs="Times New Roman"/>
          <w:sz w:val="24"/>
          <w:szCs w:val="24"/>
        </w:rPr>
        <w:t>study</w:t>
      </w:r>
      <w:r w:rsidRPr="005402F3">
        <w:rPr>
          <w:rFonts w:ascii="Times New Roman" w:hAnsi="Times New Roman" w:cs="Times New Roman"/>
          <w:sz w:val="24"/>
          <w:szCs w:val="24"/>
        </w:rPr>
        <w:t xml:space="preserve"> </w:t>
      </w:r>
      <w:r w:rsidR="00F152D7" w:rsidRPr="005402F3">
        <w:rPr>
          <w:rFonts w:ascii="Times New Roman" w:hAnsi="Times New Roman" w:cs="Times New Roman"/>
          <w:sz w:val="24"/>
          <w:szCs w:val="24"/>
        </w:rPr>
        <w:t>also contributes</w:t>
      </w:r>
      <w:r w:rsidRPr="005402F3">
        <w:rPr>
          <w:rFonts w:ascii="Times New Roman" w:hAnsi="Times New Roman" w:cs="Times New Roman"/>
          <w:sz w:val="24"/>
          <w:szCs w:val="24"/>
        </w:rPr>
        <w:t xml:space="preserve"> to social dilemma </w:t>
      </w:r>
      <w:r w:rsidR="00F152D7" w:rsidRPr="005402F3">
        <w:rPr>
          <w:rFonts w:ascii="Times New Roman" w:hAnsi="Times New Roman" w:cs="Times New Roman"/>
          <w:sz w:val="24"/>
          <w:szCs w:val="24"/>
        </w:rPr>
        <w:t xml:space="preserve">research more broadly in that land assembly is a special case of </w:t>
      </w:r>
      <w:r w:rsidRPr="005402F3">
        <w:rPr>
          <w:rFonts w:ascii="Times New Roman" w:hAnsi="Times New Roman" w:cs="Times New Roman"/>
          <w:sz w:val="24"/>
          <w:szCs w:val="24"/>
        </w:rPr>
        <w:t>the tragedy of the anti-commons (Van Lange, et al. 2013).  The well-researched tragedy of the commons is a property rights problem where agents possess usage rights but no exclusion rights (Hardin 1968)</w:t>
      </w:r>
      <w:r w:rsidR="00F66040" w:rsidRPr="005402F3">
        <w:rPr>
          <w:rFonts w:ascii="Times New Roman" w:hAnsi="Times New Roman" w:cs="Times New Roman"/>
          <w:sz w:val="24"/>
          <w:szCs w:val="24"/>
        </w:rPr>
        <w:t xml:space="preserve"> to a shared resource</w:t>
      </w:r>
      <w:r w:rsidRPr="005402F3">
        <w:rPr>
          <w:rFonts w:ascii="Times New Roman" w:hAnsi="Times New Roman" w:cs="Times New Roman"/>
          <w:sz w:val="24"/>
          <w:szCs w:val="24"/>
        </w:rPr>
        <w:t xml:space="preserve">.  </w:t>
      </w:r>
      <w:r w:rsidR="00256DE1" w:rsidRPr="005402F3">
        <w:rPr>
          <w:rFonts w:ascii="Times New Roman" w:hAnsi="Times New Roman" w:cs="Times New Roman"/>
          <w:sz w:val="24"/>
          <w:szCs w:val="24"/>
        </w:rPr>
        <w:t>In contrast</w:t>
      </w:r>
      <w:r w:rsidRPr="005402F3">
        <w:rPr>
          <w:rFonts w:ascii="Times New Roman" w:hAnsi="Times New Roman" w:cs="Times New Roman"/>
          <w:sz w:val="24"/>
          <w:szCs w:val="24"/>
        </w:rPr>
        <w:t xml:space="preserve">, the tragedy of the anti-commons is a property rights problem where agents possess exclusion rights regardless if they possess usage rights </w:t>
      </w:r>
      <w:r w:rsidR="00F66040" w:rsidRPr="005402F3">
        <w:rPr>
          <w:rFonts w:ascii="Times New Roman" w:hAnsi="Times New Roman" w:cs="Times New Roman"/>
          <w:sz w:val="24"/>
          <w:szCs w:val="24"/>
        </w:rPr>
        <w:t xml:space="preserve">to the resource </w:t>
      </w:r>
      <w:r w:rsidRPr="005402F3">
        <w:rPr>
          <w:rFonts w:ascii="Times New Roman" w:hAnsi="Times New Roman" w:cs="Times New Roman"/>
          <w:sz w:val="24"/>
          <w:szCs w:val="24"/>
        </w:rPr>
        <w:t xml:space="preserve">(Heller 1998).    </w:t>
      </w:r>
    </w:p>
    <w:p w14:paraId="0BBED52D" w14:textId="77777777" w:rsidR="00580014" w:rsidRPr="005402F3" w:rsidRDefault="00580014" w:rsidP="00C04032">
      <w:pPr>
        <w:spacing w:line="480" w:lineRule="auto"/>
        <w:ind w:firstLine="720"/>
        <w:jc w:val="both"/>
        <w:rPr>
          <w:rFonts w:ascii="Times New Roman" w:hAnsi="Times New Roman" w:cs="Times New Roman"/>
          <w:sz w:val="24"/>
          <w:szCs w:val="24"/>
        </w:rPr>
      </w:pPr>
      <w:r w:rsidRPr="005402F3">
        <w:rPr>
          <w:rFonts w:ascii="Times New Roman" w:hAnsi="Times New Roman" w:cs="Times New Roman"/>
          <w:sz w:val="24"/>
          <w:szCs w:val="24"/>
        </w:rPr>
        <w:t>Social dilemma re</w:t>
      </w:r>
      <w:r w:rsidR="00F152D7" w:rsidRPr="005402F3">
        <w:rPr>
          <w:rFonts w:ascii="Times New Roman" w:hAnsi="Times New Roman" w:cs="Times New Roman"/>
          <w:sz w:val="24"/>
          <w:szCs w:val="24"/>
        </w:rPr>
        <w:t xml:space="preserve">search in law conjectures that </w:t>
      </w:r>
      <w:r w:rsidRPr="005402F3">
        <w:rPr>
          <w:rFonts w:ascii="Times New Roman" w:hAnsi="Times New Roman" w:cs="Times New Roman"/>
          <w:sz w:val="24"/>
          <w:szCs w:val="24"/>
        </w:rPr>
        <w:t xml:space="preserve"> without a superordinate aut</w:t>
      </w:r>
      <w:r w:rsidR="00F152D7" w:rsidRPr="005402F3">
        <w:rPr>
          <w:rFonts w:ascii="Times New Roman" w:hAnsi="Times New Roman" w:cs="Times New Roman"/>
          <w:sz w:val="24"/>
          <w:szCs w:val="24"/>
        </w:rPr>
        <w:t>hority invoking eminent domain</w:t>
      </w:r>
      <w:r w:rsidRPr="005402F3">
        <w:rPr>
          <w:rFonts w:ascii="Times New Roman" w:hAnsi="Times New Roman" w:cs="Times New Roman"/>
          <w:sz w:val="24"/>
          <w:szCs w:val="24"/>
        </w:rPr>
        <w:t xml:space="preserve"> the tragedy of the anti-commons is inevitable because voluntary agreements of land assembly “rarely work in America and elsewhere in the world” (Heller 2008, p. 113).  Indeed, placing a superordinate authority over shared resources has long been </w:t>
      </w:r>
      <w:r w:rsidR="00F152D7" w:rsidRPr="005402F3">
        <w:rPr>
          <w:rFonts w:ascii="Times New Roman" w:hAnsi="Times New Roman" w:cs="Times New Roman"/>
          <w:sz w:val="24"/>
          <w:szCs w:val="24"/>
        </w:rPr>
        <w:t>endorsed</w:t>
      </w:r>
      <w:r w:rsidRPr="005402F3">
        <w:rPr>
          <w:rFonts w:ascii="Times New Roman" w:hAnsi="Times New Roman" w:cs="Times New Roman"/>
          <w:sz w:val="24"/>
          <w:szCs w:val="24"/>
        </w:rPr>
        <w:t xml:space="preserve"> as a way (</w:t>
      </w:r>
      <w:r w:rsidR="00F152D7" w:rsidRPr="005402F3">
        <w:rPr>
          <w:rFonts w:ascii="Times New Roman" w:hAnsi="Times New Roman" w:cs="Times New Roman"/>
          <w:sz w:val="24"/>
          <w:szCs w:val="24"/>
        </w:rPr>
        <w:t>sometimes</w:t>
      </w:r>
      <w:r w:rsidRPr="005402F3">
        <w:rPr>
          <w:rFonts w:ascii="Times New Roman" w:hAnsi="Times New Roman" w:cs="Times New Roman"/>
          <w:sz w:val="24"/>
          <w:szCs w:val="24"/>
        </w:rPr>
        <w:t xml:space="preserve"> the only way [Hardin 1968]) to navigate social dilemmas (Kollock 1998).  This conjecture focuses on the negative externalities of seller holdout but </w:t>
      </w:r>
      <w:r w:rsidR="00F152D7" w:rsidRPr="005402F3">
        <w:rPr>
          <w:rFonts w:ascii="Times New Roman" w:hAnsi="Times New Roman" w:cs="Times New Roman"/>
          <w:sz w:val="24"/>
          <w:szCs w:val="24"/>
        </w:rPr>
        <w:t>overlooks</w:t>
      </w:r>
      <w:r w:rsidRPr="005402F3">
        <w:rPr>
          <w:rFonts w:ascii="Times New Roman" w:hAnsi="Times New Roman" w:cs="Times New Roman"/>
          <w:sz w:val="24"/>
          <w:szCs w:val="24"/>
        </w:rPr>
        <w:t xml:space="preserve"> the externalities of the</w:t>
      </w:r>
      <w:r w:rsidR="00F152D7" w:rsidRPr="005402F3">
        <w:rPr>
          <w:rFonts w:ascii="Times New Roman" w:hAnsi="Times New Roman" w:cs="Times New Roman"/>
          <w:sz w:val="24"/>
          <w:szCs w:val="24"/>
        </w:rPr>
        <w:t xml:space="preserve"> proposed</w:t>
      </w:r>
      <w:r w:rsidRPr="005402F3">
        <w:rPr>
          <w:rFonts w:ascii="Times New Roman" w:hAnsi="Times New Roman" w:cs="Times New Roman"/>
          <w:sz w:val="24"/>
          <w:szCs w:val="24"/>
        </w:rPr>
        <w:t xml:space="preserve"> solution.  </w:t>
      </w:r>
    </w:p>
    <w:p w14:paraId="3304D932" w14:textId="77777777" w:rsidR="00580014" w:rsidRPr="005402F3" w:rsidRDefault="00580014" w:rsidP="00C04032">
      <w:pPr>
        <w:spacing w:line="480" w:lineRule="auto"/>
        <w:ind w:firstLine="720"/>
        <w:jc w:val="both"/>
        <w:rPr>
          <w:rFonts w:ascii="Times New Roman" w:hAnsi="Times New Roman" w:cs="Times New Roman"/>
          <w:sz w:val="24"/>
          <w:szCs w:val="24"/>
        </w:rPr>
      </w:pPr>
      <w:r w:rsidRPr="005402F3">
        <w:rPr>
          <w:rFonts w:ascii="Times New Roman" w:hAnsi="Times New Roman" w:cs="Times New Roman"/>
          <w:sz w:val="24"/>
          <w:szCs w:val="24"/>
        </w:rPr>
        <w:t>We complement existing social dilemma research in two ways.  First we show that solutions to social dilemmas can have their own externalities (</w:t>
      </w:r>
      <w:r w:rsidR="00F66040" w:rsidRPr="005402F3">
        <w:rPr>
          <w:rFonts w:ascii="Times New Roman" w:hAnsi="Times New Roman" w:cs="Times New Roman"/>
          <w:sz w:val="24"/>
          <w:szCs w:val="24"/>
        </w:rPr>
        <w:t>e.g</w:t>
      </w:r>
      <w:r w:rsidRPr="005402F3">
        <w:rPr>
          <w:rFonts w:ascii="Times New Roman" w:hAnsi="Times New Roman" w:cs="Times New Roman"/>
          <w:sz w:val="24"/>
          <w:szCs w:val="24"/>
        </w:rPr>
        <w:t>., spending resources to invoke eminent domain</w:t>
      </w:r>
      <w:r w:rsidR="00F66040" w:rsidRPr="005402F3">
        <w:rPr>
          <w:rFonts w:ascii="Times New Roman" w:hAnsi="Times New Roman" w:cs="Times New Roman"/>
          <w:sz w:val="24"/>
          <w:szCs w:val="24"/>
        </w:rPr>
        <w:t>)</w:t>
      </w:r>
      <w:r w:rsidRPr="005402F3">
        <w:rPr>
          <w:rFonts w:ascii="Times New Roman" w:hAnsi="Times New Roman" w:cs="Times New Roman"/>
          <w:sz w:val="24"/>
          <w:szCs w:val="24"/>
        </w:rPr>
        <w:t>.  When the buyers exercised eminent domain, the participants lost 18.6% of the surplus.  The loss came from attempting to influence the fair market price and forcing sellers to sell even when they value</w:t>
      </w:r>
      <w:r w:rsidR="00F66040" w:rsidRPr="005402F3">
        <w:rPr>
          <w:rFonts w:ascii="Times New Roman" w:hAnsi="Times New Roman" w:cs="Times New Roman"/>
          <w:sz w:val="24"/>
          <w:szCs w:val="24"/>
        </w:rPr>
        <w:t>d</w:t>
      </w:r>
      <w:r w:rsidRPr="005402F3">
        <w:rPr>
          <w:rFonts w:ascii="Times New Roman" w:hAnsi="Times New Roman" w:cs="Times New Roman"/>
          <w:sz w:val="24"/>
          <w:szCs w:val="24"/>
        </w:rPr>
        <w:t xml:space="preserve"> the property more than the buyer.  Before invoking a solution to a social dilemma, policy makers </w:t>
      </w:r>
      <w:r w:rsidR="00F66040" w:rsidRPr="005402F3">
        <w:rPr>
          <w:rFonts w:ascii="Times New Roman" w:hAnsi="Times New Roman" w:cs="Times New Roman"/>
          <w:sz w:val="24"/>
          <w:szCs w:val="24"/>
        </w:rPr>
        <w:t>would</w:t>
      </w:r>
      <w:r w:rsidRPr="005402F3">
        <w:rPr>
          <w:rFonts w:ascii="Times New Roman" w:hAnsi="Times New Roman" w:cs="Times New Roman"/>
          <w:sz w:val="24"/>
          <w:szCs w:val="24"/>
        </w:rPr>
        <w:t xml:space="preserve"> benefit from answering Hardin’s (1</w:t>
      </w:r>
      <w:r w:rsidR="00F66040" w:rsidRPr="005402F3">
        <w:rPr>
          <w:rFonts w:ascii="Times New Roman" w:hAnsi="Times New Roman" w:cs="Times New Roman"/>
          <w:sz w:val="24"/>
          <w:szCs w:val="24"/>
        </w:rPr>
        <w:t>985) question “And then what?”</w:t>
      </w:r>
    </w:p>
    <w:p w14:paraId="5A39D2F5" w14:textId="6A2D20DA" w:rsidR="00C04032" w:rsidRPr="005402F3" w:rsidRDefault="00580014" w:rsidP="005402F3">
      <w:pPr>
        <w:spacing w:line="480" w:lineRule="auto"/>
        <w:ind w:firstLine="720"/>
        <w:jc w:val="both"/>
        <w:rPr>
          <w:rFonts w:ascii="Times New Roman" w:hAnsi="Times New Roman" w:cs="Times New Roman"/>
          <w:sz w:val="24"/>
          <w:szCs w:val="24"/>
        </w:rPr>
      </w:pPr>
      <w:r w:rsidRPr="005402F3">
        <w:rPr>
          <w:rFonts w:ascii="Times New Roman" w:hAnsi="Times New Roman" w:cs="Times New Roman"/>
          <w:sz w:val="24"/>
          <w:szCs w:val="24"/>
        </w:rPr>
        <w:t xml:space="preserve">Second, we </w:t>
      </w:r>
      <w:r w:rsidR="00F66040" w:rsidRPr="005402F3">
        <w:rPr>
          <w:rFonts w:ascii="Times New Roman" w:hAnsi="Times New Roman" w:cs="Times New Roman"/>
          <w:sz w:val="24"/>
          <w:szCs w:val="24"/>
        </w:rPr>
        <w:t>relax</w:t>
      </w:r>
      <w:r w:rsidRPr="005402F3">
        <w:rPr>
          <w:rFonts w:ascii="Times New Roman" w:hAnsi="Times New Roman" w:cs="Times New Roman"/>
          <w:sz w:val="24"/>
          <w:szCs w:val="24"/>
        </w:rPr>
        <w:t xml:space="preserve"> the assumption in the social dilemma sciences that resource management is a closed system </w:t>
      </w:r>
      <w:r w:rsidR="00F66040" w:rsidRPr="005402F3">
        <w:rPr>
          <w:rFonts w:ascii="Times New Roman" w:hAnsi="Times New Roman" w:cs="Times New Roman"/>
          <w:sz w:val="24"/>
          <w:szCs w:val="24"/>
        </w:rPr>
        <w:t>rather than an</w:t>
      </w:r>
      <w:r w:rsidRPr="005402F3">
        <w:rPr>
          <w:rFonts w:ascii="Times New Roman" w:hAnsi="Times New Roman" w:cs="Times New Roman"/>
          <w:sz w:val="24"/>
          <w:szCs w:val="24"/>
        </w:rPr>
        <w:t xml:space="preserve"> open system.  Traditionally social dilemma researchers </w:t>
      </w:r>
      <w:r w:rsidR="00F66040" w:rsidRPr="005402F3">
        <w:rPr>
          <w:rFonts w:ascii="Times New Roman" w:hAnsi="Times New Roman" w:cs="Times New Roman"/>
          <w:sz w:val="24"/>
          <w:szCs w:val="24"/>
        </w:rPr>
        <w:t xml:space="preserve">have </w:t>
      </w:r>
      <w:r w:rsidRPr="005402F3">
        <w:rPr>
          <w:rFonts w:ascii="Times New Roman" w:hAnsi="Times New Roman" w:cs="Times New Roman"/>
          <w:sz w:val="24"/>
          <w:szCs w:val="24"/>
        </w:rPr>
        <w:t>assume</w:t>
      </w:r>
      <w:r w:rsidR="00F66040" w:rsidRPr="005402F3">
        <w:rPr>
          <w:rFonts w:ascii="Times New Roman" w:hAnsi="Times New Roman" w:cs="Times New Roman"/>
          <w:sz w:val="24"/>
          <w:szCs w:val="24"/>
        </w:rPr>
        <w:t>d</w:t>
      </w:r>
      <w:r w:rsidRPr="005402F3">
        <w:rPr>
          <w:rFonts w:ascii="Times New Roman" w:hAnsi="Times New Roman" w:cs="Times New Roman"/>
          <w:sz w:val="24"/>
          <w:szCs w:val="24"/>
        </w:rPr>
        <w:t xml:space="preserve"> that </w:t>
      </w:r>
      <w:r w:rsidR="00F66040" w:rsidRPr="005402F3">
        <w:rPr>
          <w:rFonts w:ascii="Times New Roman" w:hAnsi="Times New Roman" w:cs="Times New Roman"/>
          <w:sz w:val="24"/>
          <w:szCs w:val="24"/>
        </w:rPr>
        <w:t>agents</w:t>
      </w:r>
      <w:r w:rsidRPr="005402F3">
        <w:rPr>
          <w:rFonts w:ascii="Times New Roman" w:hAnsi="Times New Roman" w:cs="Times New Roman"/>
          <w:sz w:val="24"/>
          <w:szCs w:val="24"/>
        </w:rPr>
        <w:t xml:space="preserve"> are closed off </w:t>
      </w:r>
      <w:r w:rsidR="00F66040" w:rsidRPr="005402F3">
        <w:rPr>
          <w:rFonts w:ascii="Times New Roman" w:hAnsi="Times New Roman" w:cs="Times New Roman"/>
          <w:sz w:val="24"/>
          <w:szCs w:val="24"/>
        </w:rPr>
        <w:t>from</w:t>
      </w:r>
      <w:r w:rsidRPr="005402F3">
        <w:rPr>
          <w:rFonts w:ascii="Times New Roman" w:hAnsi="Times New Roman" w:cs="Times New Roman"/>
          <w:sz w:val="24"/>
          <w:szCs w:val="24"/>
        </w:rPr>
        <w:t xml:space="preserve"> outside alternatives; e.g., there is only one </w:t>
      </w:r>
      <w:r w:rsidR="00F66040" w:rsidRPr="005402F3">
        <w:rPr>
          <w:rFonts w:ascii="Times New Roman" w:hAnsi="Times New Roman" w:cs="Times New Roman"/>
          <w:sz w:val="24"/>
          <w:szCs w:val="24"/>
        </w:rPr>
        <w:t>configuration of</w:t>
      </w:r>
      <w:r w:rsidRPr="005402F3">
        <w:rPr>
          <w:rFonts w:ascii="Times New Roman" w:hAnsi="Times New Roman" w:cs="Times New Roman"/>
          <w:sz w:val="24"/>
          <w:szCs w:val="24"/>
        </w:rPr>
        <w:t xml:space="preserve"> land </w:t>
      </w:r>
      <w:r w:rsidR="00F66040" w:rsidRPr="005402F3">
        <w:rPr>
          <w:rFonts w:ascii="Times New Roman" w:hAnsi="Times New Roman" w:cs="Times New Roman"/>
          <w:sz w:val="24"/>
          <w:szCs w:val="24"/>
        </w:rPr>
        <w:t>amenable to development or one set</w:t>
      </w:r>
      <w:r w:rsidR="00836507" w:rsidRPr="005402F3">
        <w:rPr>
          <w:rFonts w:ascii="Times New Roman" w:hAnsi="Times New Roman" w:cs="Times New Roman"/>
          <w:sz w:val="24"/>
          <w:szCs w:val="24"/>
        </w:rPr>
        <w:t xml:space="preserve"> of patents that will permit a suitable pharmaceutical treatment</w:t>
      </w:r>
      <w:r w:rsidRPr="005402F3">
        <w:rPr>
          <w:rFonts w:ascii="Times New Roman" w:hAnsi="Times New Roman" w:cs="Times New Roman"/>
          <w:sz w:val="24"/>
          <w:szCs w:val="24"/>
        </w:rPr>
        <w:t>.  Simon (1996) reminds us that there are often substitutes for and more efficient ways to utilize res</w:t>
      </w:r>
      <w:r w:rsidR="00F66040" w:rsidRPr="005402F3">
        <w:rPr>
          <w:rFonts w:ascii="Times New Roman" w:hAnsi="Times New Roman" w:cs="Times New Roman"/>
          <w:sz w:val="24"/>
          <w:szCs w:val="24"/>
        </w:rPr>
        <w:t>ources.  Taking an open system</w:t>
      </w:r>
      <w:r w:rsidRPr="005402F3">
        <w:rPr>
          <w:rFonts w:ascii="Times New Roman" w:hAnsi="Times New Roman" w:cs="Times New Roman"/>
          <w:sz w:val="24"/>
          <w:szCs w:val="24"/>
        </w:rPr>
        <w:t xml:space="preserve"> approach to the tragedy of the anti-commons, as we have </w:t>
      </w:r>
      <w:r w:rsidR="00F808CB" w:rsidRPr="005402F3">
        <w:rPr>
          <w:rFonts w:ascii="Times New Roman" w:hAnsi="Times New Roman" w:cs="Times New Roman"/>
          <w:sz w:val="24"/>
          <w:szCs w:val="24"/>
        </w:rPr>
        <w:t xml:space="preserve">done </w:t>
      </w:r>
      <w:r w:rsidRPr="005402F3">
        <w:rPr>
          <w:rFonts w:ascii="Times New Roman" w:hAnsi="Times New Roman" w:cs="Times New Roman"/>
          <w:sz w:val="24"/>
          <w:szCs w:val="24"/>
        </w:rPr>
        <w:t>with land assembly, introduce</w:t>
      </w:r>
      <w:r w:rsidR="00F808CB" w:rsidRPr="005402F3">
        <w:rPr>
          <w:rFonts w:ascii="Times New Roman" w:hAnsi="Times New Roman" w:cs="Times New Roman"/>
          <w:sz w:val="24"/>
          <w:szCs w:val="24"/>
        </w:rPr>
        <w:t>s</w:t>
      </w:r>
      <w:r w:rsidRPr="005402F3">
        <w:rPr>
          <w:rFonts w:ascii="Times New Roman" w:hAnsi="Times New Roman" w:cs="Times New Roman"/>
          <w:sz w:val="24"/>
          <w:szCs w:val="24"/>
        </w:rPr>
        <w:t xml:space="preserve"> a substi</w:t>
      </w:r>
      <w:r w:rsidR="00F66040" w:rsidRPr="005402F3">
        <w:rPr>
          <w:rFonts w:ascii="Times New Roman" w:hAnsi="Times New Roman" w:cs="Times New Roman"/>
          <w:sz w:val="24"/>
          <w:szCs w:val="24"/>
        </w:rPr>
        <w:t>tute to superordinate authority.</w:t>
      </w:r>
      <w:r w:rsidRPr="005402F3">
        <w:rPr>
          <w:rFonts w:ascii="Times New Roman" w:hAnsi="Times New Roman" w:cs="Times New Roman"/>
          <w:sz w:val="24"/>
          <w:szCs w:val="24"/>
        </w:rPr>
        <w:t xml:space="preserve"> </w:t>
      </w:r>
      <w:r w:rsidR="00F66040" w:rsidRPr="005402F3">
        <w:rPr>
          <w:rFonts w:ascii="Times New Roman" w:hAnsi="Times New Roman" w:cs="Times New Roman"/>
          <w:sz w:val="24"/>
          <w:szCs w:val="24"/>
        </w:rPr>
        <w:t xml:space="preserve"> </w:t>
      </w:r>
      <w:r w:rsidR="00F808CB" w:rsidRPr="005402F3">
        <w:rPr>
          <w:rFonts w:ascii="Times New Roman" w:hAnsi="Times New Roman" w:cs="Times New Roman"/>
          <w:sz w:val="24"/>
          <w:szCs w:val="24"/>
        </w:rPr>
        <w:t xml:space="preserve">In our experiments this </w:t>
      </w:r>
      <w:r w:rsidR="00836507" w:rsidRPr="005402F3">
        <w:rPr>
          <w:rFonts w:ascii="Times New Roman" w:hAnsi="Times New Roman" w:cs="Times New Roman"/>
          <w:sz w:val="24"/>
          <w:szCs w:val="24"/>
        </w:rPr>
        <w:t>resulted in the highest level of economic efficiency, with just</w:t>
      </w:r>
      <w:r w:rsidRPr="005402F3">
        <w:rPr>
          <w:rFonts w:ascii="Times New Roman" w:hAnsi="Times New Roman" w:cs="Times New Roman"/>
          <w:sz w:val="24"/>
          <w:szCs w:val="24"/>
        </w:rPr>
        <w:t xml:space="preserve"> 11.5% of the surplus lost.  </w:t>
      </w:r>
    </w:p>
    <w:p w14:paraId="775ED465" w14:textId="77777777" w:rsidR="00C04032" w:rsidRPr="005402F3" w:rsidRDefault="00C04032" w:rsidP="00C04032">
      <w:pPr>
        <w:pStyle w:val="ListParagraph"/>
        <w:numPr>
          <w:ilvl w:val="0"/>
          <w:numId w:val="4"/>
        </w:numPr>
        <w:tabs>
          <w:tab w:val="left" w:pos="360"/>
        </w:tabs>
        <w:spacing w:line="480" w:lineRule="auto"/>
        <w:ind w:left="360"/>
        <w:jc w:val="both"/>
        <w:rPr>
          <w:rFonts w:ascii="Times New Roman" w:eastAsiaTheme="minorEastAsia" w:hAnsi="Times New Roman" w:cs="Times New Roman"/>
          <w:i/>
          <w:sz w:val="24"/>
          <w:szCs w:val="24"/>
        </w:rPr>
      </w:pPr>
      <w:r w:rsidRPr="005402F3">
        <w:rPr>
          <w:rFonts w:ascii="Times New Roman" w:eastAsiaTheme="minorEastAsia" w:hAnsi="Times New Roman" w:cs="Times New Roman"/>
          <w:i/>
          <w:sz w:val="24"/>
          <w:szCs w:val="24"/>
        </w:rPr>
        <w:t>Limitations and Future Research Directions</w:t>
      </w:r>
    </w:p>
    <w:p w14:paraId="0C072D44" w14:textId="77777777" w:rsidR="00BA1288" w:rsidRPr="005402F3" w:rsidRDefault="00BA1288" w:rsidP="00BA1288">
      <w:pPr>
        <w:spacing w:line="480" w:lineRule="auto"/>
        <w:ind w:firstLine="720"/>
        <w:jc w:val="both"/>
        <w:rPr>
          <w:rFonts w:ascii="Times New Roman" w:eastAsiaTheme="minorEastAsia" w:hAnsi="Times New Roman" w:cs="Times New Roman"/>
          <w:sz w:val="24"/>
          <w:szCs w:val="24"/>
        </w:rPr>
      </w:pPr>
      <w:r w:rsidRPr="005402F3">
        <w:rPr>
          <w:rFonts w:ascii="Times New Roman" w:eastAsiaTheme="minorEastAsia" w:hAnsi="Times New Roman" w:cs="Times New Roman"/>
          <w:sz w:val="24"/>
          <w:szCs w:val="24"/>
        </w:rPr>
        <w:t>Our study does have some important limitations.  Cadigan, et al. (2011) have demonstrated that delay is exacerbated and assembly failure more common with a larger numbers of sellers.  We did not vary the number of sellers, so we cannot measure how the de</w:t>
      </w:r>
      <w:bookmarkStart w:id="0" w:name="_GoBack"/>
      <w:bookmarkEnd w:id="0"/>
      <w:r w:rsidRPr="005402F3">
        <w:rPr>
          <w:rFonts w:ascii="Times New Roman" w:eastAsiaTheme="minorEastAsia" w:hAnsi="Times New Roman" w:cs="Times New Roman"/>
          <w:sz w:val="24"/>
          <w:szCs w:val="24"/>
        </w:rPr>
        <w:t xml:space="preserve">gree of fragmentation interacts with the results reported here.  </w:t>
      </w:r>
      <w:r w:rsidR="007223B1" w:rsidRPr="005402F3">
        <w:rPr>
          <w:rFonts w:ascii="Times New Roman" w:eastAsiaTheme="minorEastAsia" w:hAnsi="Times New Roman" w:cs="Times New Roman"/>
          <w:sz w:val="24"/>
          <w:szCs w:val="24"/>
        </w:rPr>
        <w:t xml:space="preserve">Future research may benefit from examining whether the number of sellers makes land assembly more challenging, especially if sellers are allowed to form coalitions against prospective buyers.  </w:t>
      </w:r>
      <w:r w:rsidRPr="005402F3">
        <w:rPr>
          <w:rFonts w:ascii="Times New Roman" w:eastAsiaTheme="minorEastAsia" w:hAnsi="Times New Roman" w:cs="Times New Roman"/>
          <w:sz w:val="24"/>
          <w:szCs w:val="24"/>
        </w:rPr>
        <w:t>Additionally, there were no externalities from assembly in our experiments, which may encourage seller holdout (O’Flaherty 1994).</w:t>
      </w:r>
      <w:r w:rsidR="007223B1" w:rsidRPr="005402F3">
        <w:rPr>
          <w:rFonts w:ascii="Times New Roman" w:eastAsiaTheme="minorEastAsia" w:hAnsi="Times New Roman" w:cs="Times New Roman"/>
          <w:sz w:val="24"/>
          <w:szCs w:val="24"/>
        </w:rPr>
        <w:t xml:space="preserve">  Future scholarship may benefit from examining whether the knowledge of positive versus negative externalities to those directly involved in the land assembly impact seller holdouts.  </w:t>
      </w:r>
    </w:p>
    <w:p w14:paraId="0A6045E0" w14:textId="77777777" w:rsidR="005C5128" w:rsidRPr="005402F3" w:rsidRDefault="005C5128" w:rsidP="0010741C">
      <w:pPr>
        <w:spacing w:line="480" w:lineRule="auto"/>
        <w:rPr>
          <w:rFonts w:ascii="Times New Roman" w:eastAsiaTheme="minorEastAsia" w:hAnsi="Times New Roman" w:cs="Times New Roman"/>
          <w:sz w:val="24"/>
          <w:szCs w:val="24"/>
        </w:rPr>
      </w:pPr>
    </w:p>
    <w:p w14:paraId="2A655062" w14:textId="77777777" w:rsidR="00573D30" w:rsidRPr="005866FD" w:rsidRDefault="00573D30">
      <w:pP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br w:type="page"/>
      </w:r>
    </w:p>
    <w:p w14:paraId="0BC98750" w14:textId="77777777" w:rsidR="006B3F47" w:rsidRPr="005866FD" w:rsidRDefault="006B3F47" w:rsidP="008D574E">
      <w:pPr>
        <w:rPr>
          <w:rFonts w:ascii="Times New Roman" w:eastAsiaTheme="minorEastAsia" w:hAnsi="Times New Roman" w:cs="Times New Roman"/>
          <w:b/>
          <w:sz w:val="24"/>
          <w:szCs w:val="24"/>
        </w:rPr>
      </w:pPr>
      <w:r w:rsidRPr="005866FD">
        <w:rPr>
          <w:rFonts w:ascii="Times New Roman" w:eastAsiaTheme="minorEastAsia" w:hAnsi="Times New Roman" w:cs="Times New Roman"/>
          <w:b/>
          <w:sz w:val="24"/>
          <w:szCs w:val="24"/>
        </w:rPr>
        <w:t>References</w:t>
      </w:r>
    </w:p>
    <w:p w14:paraId="4D58B505" w14:textId="77777777" w:rsidR="006B3F47" w:rsidRPr="005866FD" w:rsidRDefault="006B3F47" w:rsidP="006B3F47">
      <w:pPr>
        <w:autoSpaceDE w:val="0"/>
        <w:autoSpaceDN w:val="0"/>
        <w:adjustRightInd w:val="0"/>
        <w:spacing w:after="0" w:line="240" w:lineRule="auto"/>
        <w:rPr>
          <w:rFonts w:ascii="Times New Roman" w:hAnsi="Times New Roman" w:cs="Times New Roman"/>
          <w:sz w:val="24"/>
          <w:szCs w:val="24"/>
        </w:rPr>
      </w:pPr>
      <w:r w:rsidRPr="005866FD">
        <w:rPr>
          <w:rFonts w:ascii="Times New Roman" w:hAnsi="Times New Roman" w:cs="Times New Roman"/>
          <w:b/>
          <w:bCs/>
          <w:sz w:val="24"/>
          <w:szCs w:val="24"/>
        </w:rPr>
        <w:t>Allen, Tom.</w:t>
      </w:r>
      <w:r w:rsidRPr="005866FD">
        <w:rPr>
          <w:rFonts w:ascii="Times New Roman" w:hAnsi="Times New Roman" w:cs="Times New Roman"/>
          <w:sz w:val="24"/>
          <w:szCs w:val="24"/>
        </w:rPr>
        <w:t xml:space="preserve"> 2000. </w:t>
      </w:r>
      <w:r w:rsidRPr="005866FD">
        <w:rPr>
          <w:rFonts w:ascii="Times New Roman" w:hAnsi="Times New Roman" w:cs="Times New Roman"/>
          <w:i/>
          <w:iCs/>
          <w:sz w:val="24"/>
          <w:szCs w:val="24"/>
        </w:rPr>
        <w:t>The Right to Property in Commonwealth Constitutions</w:t>
      </w:r>
      <w:r w:rsidRPr="005866FD">
        <w:rPr>
          <w:rFonts w:ascii="Times New Roman" w:hAnsi="Times New Roman" w:cs="Times New Roman"/>
          <w:sz w:val="24"/>
          <w:szCs w:val="24"/>
        </w:rPr>
        <w:t>. Cambridge, UK: Cambridge University Press.</w:t>
      </w:r>
    </w:p>
    <w:p w14:paraId="5F255A0E" w14:textId="77777777" w:rsidR="006B3F47" w:rsidRPr="005866FD" w:rsidRDefault="006B3F47" w:rsidP="006B3F47">
      <w:pPr>
        <w:autoSpaceDE w:val="0"/>
        <w:autoSpaceDN w:val="0"/>
        <w:adjustRightInd w:val="0"/>
        <w:spacing w:after="0" w:line="240" w:lineRule="auto"/>
        <w:rPr>
          <w:rFonts w:ascii="Times New Roman" w:hAnsi="Times New Roman" w:cs="Times New Roman"/>
          <w:b/>
          <w:bCs/>
          <w:sz w:val="24"/>
          <w:szCs w:val="24"/>
        </w:rPr>
      </w:pPr>
    </w:p>
    <w:p w14:paraId="36FCB1BD" w14:textId="77777777" w:rsidR="006F70B7" w:rsidRPr="005402F3" w:rsidRDefault="006F70B7" w:rsidP="00585043">
      <w:pPr>
        <w:spacing w:after="200" w:line="276" w:lineRule="auto"/>
        <w:contextualSpacing/>
        <w:rPr>
          <w:rFonts w:ascii="Times New Roman" w:hAnsi="Times New Roman" w:cs="Times New Roman"/>
          <w:sz w:val="24"/>
          <w:szCs w:val="24"/>
        </w:rPr>
      </w:pPr>
      <w:r>
        <w:rPr>
          <w:rFonts w:ascii="Times New Roman" w:hAnsi="Times New Roman" w:cs="Times New Roman"/>
          <w:b/>
          <w:sz w:val="24"/>
          <w:szCs w:val="24"/>
        </w:rPr>
        <w:t xml:space="preserve">Buchanan, James M. and Yong Yoon. </w:t>
      </w:r>
      <w:r>
        <w:rPr>
          <w:rFonts w:ascii="Times New Roman" w:hAnsi="Times New Roman" w:cs="Times New Roman"/>
          <w:sz w:val="24"/>
          <w:szCs w:val="24"/>
        </w:rPr>
        <w:t xml:space="preserve">2000. “Symmetric Tragedies: Commons and Anticommons.” </w:t>
      </w:r>
      <w:r>
        <w:rPr>
          <w:rFonts w:ascii="Times New Roman" w:hAnsi="Times New Roman" w:cs="Times New Roman"/>
          <w:i/>
          <w:sz w:val="24"/>
          <w:szCs w:val="24"/>
        </w:rPr>
        <w:t>Journal of Law and Economics</w:t>
      </w:r>
      <w:r>
        <w:rPr>
          <w:rFonts w:ascii="Times New Roman" w:hAnsi="Times New Roman" w:cs="Times New Roman"/>
          <w:sz w:val="24"/>
          <w:szCs w:val="24"/>
        </w:rPr>
        <w:t>, 43(1), 1-14.</w:t>
      </w:r>
    </w:p>
    <w:p w14:paraId="173B73A8" w14:textId="77777777" w:rsidR="006F70B7" w:rsidRDefault="006F70B7" w:rsidP="00585043">
      <w:pPr>
        <w:spacing w:after="200" w:line="276" w:lineRule="auto"/>
        <w:contextualSpacing/>
        <w:rPr>
          <w:rFonts w:ascii="Times New Roman" w:hAnsi="Times New Roman" w:cs="Times New Roman"/>
          <w:b/>
          <w:sz w:val="24"/>
          <w:szCs w:val="24"/>
        </w:rPr>
      </w:pPr>
    </w:p>
    <w:p w14:paraId="5ED0BF42" w14:textId="77777777" w:rsidR="00DC0259" w:rsidRPr="00DC0259" w:rsidRDefault="00DC0259" w:rsidP="00585043">
      <w:pPr>
        <w:spacing w:after="200" w:line="276" w:lineRule="auto"/>
        <w:contextualSpacing/>
        <w:rPr>
          <w:rFonts w:ascii="Times New Roman" w:hAnsi="Times New Roman" w:cs="Times New Roman"/>
          <w:i/>
          <w:sz w:val="24"/>
          <w:szCs w:val="24"/>
        </w:rPr>
      </w:pPr>
      <w:r>
        <w:rPr>
          <w:rFonts w:ascii="Times New Roman" w:hAnsi="Times New Roman" w:cs="Times New Roman"/>
          <w:b/>
          <w:sz w:val="24"/>
          <w:szCs w:val="24"/>
        </w:rPr>
        <w:t>Bittlingmayer, George.</w:t>
      </w:r>
      <w:r>
        <w:rPr>
          <w:rFonts w:ascii="Times New Roman" w:hAnsi="Times New Roman" w:cs="Times New Roman"/>
          <w:sz w:val="24"/>
          <w:szCs w:val="24"/>
        </w:rPr>
        <w:t xml:space="preserve"> 1988. “</w:t>
      </w:r>
      <w:r w:rsidR="006D2A69" w:rsidRPr="006D2A69">
        <w:rPr>
          <w:rFonts w:ascii="Times New Roman" w:hAnsi="Times New Roman" w:cs="Times New Roman"/>
          <w:sz w:val="24"/>
          <w:szCs w:val="24"/>
        </w:rPr>
        <w:t>Property Rights, Pro</w:t>
      </w:r>
      <w:r>
        <w:rPr>
          <w:rFonts w:ascii="Times New Roman" w:hAnsi="Times New Roman" w:cs="Times New Roman"/>
          <w:sz w:val="24"/>
          <w:szCs w:val="24"/>
        </w:rPr>
        <w:t xml:space="preserve">gress, and the Aircraft Patent Agreement.” </w:t>
      </w:r>
      <w:r w:rsidR="006D2A69" w:rsidRPr="006D2A69">
        <w:rPr>
          <w:rFonts w:ascii="Times New Roman" w:hAnsi="Times New Roman" w:cs="Times New Roman"/>
          <w:i/>
          <w:sz w:val="24"/>
          <w:szCs w:val="24"/>
        </w:rPr>
        <w:t>Journal of Law and Economics</w:t>
      </w:r>
      <w:r>
        <w:rPr>
          <w:rFonts w:ascii="Times New Roman" w:hAnsi="Times New Roman" w:cs="Times New Roman"/>
          <w:sz w:val="24"/>
          <w:szCs w:val="24"/>
        </w:rPr>
        <w:t>, 31(1) 227-248.</w:t>
      </w:r>
    </w:p>
    <w:p w14:paraId="09462EE8" w14:textId="77777777" w:rsidR="00DC0259" w:rsidRDefault="00DC0259" w:rsidP="00585043">
      <w:pPr>
        <w:spacing w:after="200" w:line="276" w:lineRule="auto"/>
        <w:contextualSpacing/>
        <w:rPr>
          <w:rFonts w:ascii="Times New Roman" w:hAnsi="Times New Roman" w:cs="Times New Roman"/>
          <w:b/>
          <w:sz w:val="24"/>
          <w:szCs w:val="24"/>
        </w:rPr>
      </w:pPr>
    </w:p>
    <w:p w14:paraId="64822B48" w14:textId="77777777" w:rsidR="00585043" w:rsidRPr="005866FD" w:rsidRDefault="00585043" w:rsidP="00585043">
      <w:pPr>
        <w:spacing w:after="200" w:line="276" w:lineRule="auto"/>
        <w:contextualSpacing/>
        <w:rPr>
          <w:rFonts w:ascii="Times New Roman" w:hAnsi="Times New Roman" w:cs="Times New Roman"/>
          <w:sz w:val="24"/>
          <w:szCs w:val="24"/>
        </w:rPr>
      </w:pPr>
      <w:r w:rsidRPr="005866FD">
        <w:rPr>
          <w:rFonts w:ascii="Times New Roman" w:hAnsi="Times New Roman" w:cs="Times New Roman"/>
          <w:b/>
          <w:sz w:val="24"/>
          <w:szCs w:val="24"/>
        </w:rPr>
        <w:t>Cadigan, John, Pamela Schmitt, Robert Shupp and Kurtis Swope.</w:t>
      </w:r>
      <w:r w:rsidRPr="005866FD">
        <w:rPr>
          <w:rFonts w:ascii="Times New Roman" w:hAnsi="Times New Roman" w:cs="Times New Roman"/>
          <w:sz w:val="24"/>
          <w:szCs w:val="24"/>
        </w:rPr>
        <w:t xml:space="preserve"> 2009. “An Experimental Study of the Holdout Problem in a Multilateral Bargaining Game.” </w:t>
      </w:r>
      <w:r w:rsidRPr="005866FD">
        <w:rPr>
          <w:rFonts w:ascii="Times New Roman" w:hAnsi="Times New Roman" w:cs="Times New Roman"/>
          <w:i/>
          <w:sz w:val="24"/>
          <w:szCs w:val="24"/>
        </w:rPr>
        <w:t>Southern Economic Journal</w:t>
      </w:r>
      <w:r w:rsidRPr="005866FD">
        <w:rPr>
          <w:rFonts w:ascii="Times New Roman" w:hAnsi="Times New Roman" w:cs="Times New Roman"/>
          <w:sz w:val="24"/>
          <w:szCs w:val="24"/>
        </w:rPr>
        <w:t>, 76(2) 444-457.</w:t>
      </w:r>
    </w:p>
    <w:p w14:paraId="70C3616A" w14:textId="77777777" w:rsidR="00585043" w:rsidRPr="005866FD" w:rsidRDefault="00585043" w:rsidP="00585043">
      <w:pPr>
        <w:spacing w:after="200" w:line="276" w:lineRule="auto"/>
        <w:contextualSpacing/>
        <w:rPr>
          <w:rFonts w:ascii="Times New Roman" w:hAnsi="Times New Roman" w:cs="Times New Roman"/>
          <w:sz w:val="24"/>
          <w:szCs w:val="24"/>
        </w:rPr>
      </w:pPr>
    </w:p>
    <w:p w14:paraId="127D0DCE" w14:textId="77777777" w:rsidR="00585043" w:rsidRPr="005866FD" w:rsidRDefault="00585043" w:rsidP="00585043">
      <w:pPr>
        <w:spacing w:after="200" w:line="276" w:lineRule="auto"/>
        <w:contextualSpacing/>
        <w:rPr>
          <w:rFonts w:ascii="Times New Roman" w:hAnsi="Times New Roman" w:cs="Times New Roman"/>
          <w:sz w:val="24"/>
          <w:szCs w:val="24"/>
        </w:rPr>
      </w:pPr>
      <w:r w:rsidRPr="005866FD">
        <w:rPr>
          <w:rFonts w:ascii="Times New Roman" w:hAnsi="Times New Roman" w:cs="Times New Roman"/>
          <w:b/>
          <w:sz w:val="24"/>
          <w:szCs w:val="24"/>
        </w:rPr>
        <w:t>_____.</w:t>
      </w:r>
      <w:r w:rsidRPr="005866FD">
        <w:rPr>
          <w:rFonts w:ascii="Times New Roman" w:hAnsi="Times New Roman" w:cs="Times New Roman"/>
          <w:sz w:val="24"/>
          <w:szCs w:val="24"/>
        </w:rPr>
        <w:t xml:space="preserve"> 2011. “The Holdout Problem and Urban Sprawl: Experimental Evidence.” </w:t>
      </w:r>
      <w:r w:rsidRPr="005866FD">
        <w:rPr>
          <w:rFonts w:ascii="Times New Roman" w:hAnsi="Times New Roman" w:cs="Times New Roman"/>
          <w:i/>
          <w:sz w:val="24"/>
          <w:szCs w:val="24"/>
        </w:rPr>
        <w:t>Journal of Urban Economics</w:t>
      </w:r>
      <w:r w:rsidRPr="005866FD">
        <w:rPr>
          <w:rFonts w:ascii="Times New Roman" w:hAnsi="Times New Roman" w:cs="Times New Roman"/>
          <w:sz w:val="24"/>
          <w:szCs w:val="24"/>
        </w:rPr>
        <w:t>, 69(1), 72-81.</w:t>
      </w:r>
    </w:p>
    <w:p w14:paraId="628759B2" w14:textId="77777777" w:rsidR="00585043" w:rsidRPr="005866FD" w:rsidRDefault="00585043" w:rsidP="00585043">
      <w:pPr>
        <w:spacing w:after="200" w:line="276" w:lineRule="auto"/>
        <w:contextualSpacing/>
        <w:rPr>
          <w:rFonts w:ascii="Times New Roman" w:hAnsi="Times New Roman" w:cs="Times New Roman"/>
          <w:sz w:val="24"/>
          <w:szCs w:val="24"/>
        </w:rPr>
      </w:pPr>
    </w:p>
    <w:p w14:paraId="7D88F4E6" w14:textId="77777777" w:rsidR="00585043" w:rsidRPr="005866FD" w:rsidRDefault="00585043" w:rsidP="00585043">
      <w:pPr>
        <w:spacing w:after="200" w:line="276" w:lineRule="auto"/>
        <w:contextualSpacing/>
      </w:pPr>
      <w:r w:rsidRPr="005866FD">
        <w:rPr>
          <w:rFonts w:ascii="Times New Roman" w:hAnsi="Times New Roman" w:cs="Times New Roman"/>
          <w:b/>
          <w:sz w:val="24"/>
          <w:szCs w:val="24"/>
        </w:rPr>
        <w:t>Cadigan, John, Pamela Schmitt and Kurtis Swope.</w:t>
      </w:r>
      <w:r w:rsidRPr="005866FD">
        <w:rPr>
          <w:rFonts w:ascii="Times New Roman" w:hAnsi="Times New Roman" w:cs="Times New Roman"/>
          <w:sz w:val="24"/>
          <w:szCs w:val="24"/>
        </w:rPr>
        <w:t xml:space="preserve"> </w:t>
      </w:r>
      <w:r w:rsidR="00C47B51" w:rsidRPr="005866FD">
        <w:rPr>
          <w:rFonts w:ascii="Times New Roman" w:hAnsi="Times New Roman" w:cs="Times New Roman"/>
          <w:sz w:val="24"/>
          <w:szCs w:val="24"/>
        </w:rPr>
        <w:t>Forthcoming</w:t>
      </w:r>
      <w:r w:rsidRPr="005866FD">
        <w:rPr>
          <w:rFonts w:ascii="Times New Roman" w:hAnsi="Times New Roman" w:cs="Times New Roman"/>
          <w:sz w:val="24"/>
          <w:szCs w:val="24"/>
        </w:rPr>
        <w:t xml:space="preserve">. “That’s My Final Offer! Bargaining Behavior with Costly Delay and Credible Commitment.” </w:t>
      </w:r>
      <w:r w:rsidR="00C47B51" w:rsidRPr="005866FD">
        <w:rPr>
          <w:rFonts w:ascii="Times New Roman" w:hAnsi="Times New Roman" w:cs="Times New Roman"/>
          <w:i/>
          <w:sz w:val="24"/>
          <w:szCs w:val="24"/>
        </w:rPr>
        <w:t>Journal of Behavioral and Experimental Economics</w:t>
      </w:r>
      <w:r w:rsidR="00C47B51" w:rsidRPr="005866FD">
        <w:rPr>
          <w:rFonts w:ascii="Times New Roman" w:hAnsi="Times New Roman" w:cs="Times New Roman"/>
          <w:sz w:val="24"/>
          <w:szCs w:val="24"/>
        </w:rPr>
        <w:t>.</w:t>
      </w:r>
    </w:p>
    <w:p w14:paraId="0A2829B3" w14:textId="77777777" w:rsidR="00585043" w:rsidRPr="005866FD" w:rsidRDefault="00585043" w:rsidP="006B3F47">
      <w:pPr>
        <w:autoSpaceDE w:val="0"/>
        <w:autoSpaceDN w:val="0"/>
        <w:adjustRightInd w:val="0"/>
        <w:spacing w:after="0" w:line="240" w:lineRule="auto"/>
        <w:rPr>
          <w:rFonts w:ascii="Times New Roman" w:hAnsi="Times New Roman" w:cs="Times New Roman"/>
          <w:b/>
          <w:bCs/>
          <w:sz w:val="24"/>
          <w:szCs w:val="24"/>
        </w:rPr>
      </w:pPr>
    </w:p>
    <w:p w14:paraId="41D45B2B" w14:textId="77777777" w:rsidR="00991265" w:rsidRPr="005866FD" w:rsidRDefault="00991265" w:rsidP="006B3F47">
      <w:pPr>
        <w:autoSpaceDE w:val="0"/>
        <w:autoSpaceDN w:val="0"/>
        <w:adjustRightInd w:val="0"/>
        <w:spacing w:after="0" w:line="240" w:lineRule="auto"/>
        <w:rPr>
          <w:rFonts w:ascii="Times New Roman" w:hAnsi="Times New Roman" w:cs="Times New Roman"/>
          <w:bCs/>
          <w:sz w:val="24"/>
          <w:szCs w:val="24"/>
        </w:rPr>
      </w:pPr>
      <w:r w:rsidRPr="005866FD">
        <w:rPr>
          <w:rFonts w:ascii="Times New Roman" w:hAnsi="Times New Roman" w:cs="Times New Roman"/>
          <w:b/>
          <w:bCs/>
          <w:sz w:val="24"/>
          <w:szCs w:val="24"/>
        </w:rPr>
        <w:t>Calabresi, Guido and A. Douglas Melamed.</w:t>
      </w:r>
      <w:r w:rsidRPr="005866FD">
        <w:rPr>
          <w:rFonts w:ascii="Times New Roman" w:hAnsi="Times New Roman" w:cs="Times New Roman"/>
          <w:bCs/>
          <w:sz w:val="24"/>
          <w:szCs w:val="24"/>
        </w:rPr>
        <w:t xml:space="preserve"> 1972. “Property Rules, Liability Rules, and Inalienability: One View of the Cathedral.” </w:t>
      </w:r>
      <w:r w:rsidRPr="005866FD">
        <w:rPr>
          <w:rFonts w:ascii="Times New Roman" w:hAnsi="Times New Roman" w:cs="Times New Roman"/>
          <w:bCs/>
          <w:i/>
          <w:sz w:val="24"/>
          <w:szCs w:val="24"/>
        </w:rPr>
        <w:t>Harvard Law Review</w:t>
      </w:r>
      <w:r w:rsidRPr="005866FD">
        <w:rPr>
          <w:rFonts w:ascii="Times New Roman" w:hAnsi="Times New Roman" w:cs="Times New Roman"/>
          <w:bCs/>
          <w:sz w:val="24"/>
          <w:szCs w:val="24"/>
        </w:rPr>
        <w:t>, 85(6), 1089-1128.</w:t>
      </w:r>
    </w:p>
    <w:p w14:paraId="0ABA61BB" w14:textId="77777777" w:rsidR="00991265" w:rsidRPr="005866FD" w:rsidRDefault="00991265" w:rsidP="006B3F47">
      <w:pPr>
        <w:autoSpaceDE w:val="0"/>
        <w:autoSpaceDN w:val="0"/>
        <w:adjustRightInd w:val="0"/>
        <w:spacing w:after="0" w:line="240" w:lineRule="auto"/>
        <w:rPr>
          <w:rFonts w:ascii="Times New Roman" w:hAnsi="Times New Roman" w:cs="Times New Roman"/>
          <w:b/>
          <w:bCs/>
          <w:sz w:val="24"/>
          <w:szCs w:val="24"/>
        </w:rPr>
      </w:pPr>
    </w:p>
    <w:p w14:paraId="2B4405FF" w14:textId="77777777" w:rsidR="008F0FEF" w:rsidRPr="005866FD" w:rsidRDefault="008F0FEF" w:rsidP="006B3F47">
      <w:pPr>
        <w:autoSpaceDE w:val="0"/>
        <w:autoSpaceDN w:val="0"/>
        <w:adjustRightInd w:val="0"/>
        <w:spacing w:after="0" w:line="240" w:lineRule="auto"/>
        <w:rPr>
          <w:rFonts w:ascii="Times New Roman" w:hAnsi="Times New Roman" w:cs="Times New Roman"/>
          <w:bCs/>
          <w:sz w:val="24"/>
          <w:szCs w:val="24"/>
        </w:rPr>
      </w:pPr>
      <w:r w:rsidRPr="005866FD">
        <w:rPr>
          <w:rFonts w:ascii="Times New Roman" w:hAnsi="Times New Roman" w:cs="Times New Roman"/>
          <w:b/>
          <w:bCs/>
          <w:sz w:val="24"/>
          <w:szCs w:val="24"/>
        </w:rPr>
        <w:t>Cohen, Lloyd.</w:t>
      </w:r>
      <w:r w:rsidRPr="005866FD">
        <w:rPr>
          <w:rFonts w:ascii="Times New Roman" w:hAnsi="Times New Roman" w:cs="Times New Roman"/>
          <w:bCs/>
          <w:sz w:val="24"/>
          <w:szCs w:val="24"/>
        </w:rPr>
        <w:t xml:space="preserve"> 1991. “Holdouts and Free Riders.” </w:t>
      </w:r>
      <w:r w:rsidRPr="005866FD">
        <w:rPr>
          <w:rFonts w:ascii="Times New Roman" w:hAnsi="Times New Roman" w:cs="Times New Roman"/>
          <w:bCs/>
          <w:i/>
          <w:sz w:val="24"/>
          <w:szCs w:val="24"/>
        </w:rPr>
        <w:t>The Journal of Legal Studies</w:t>
      </w:r>
      <w:r w:rsidRPr="005866FD">
        <w:rPr>
          <w:rFonts w:ascii="Times New Roman" w:hAnsi="Times New Roman" w:cs="Times New Roman"/>
          <w:bCs/>
          <w:sz w:val="24"/>
          <w:szCs w:val="24"/>
        </w:rPr>
        <w:t>, 20(2), 351-362.</w:t>
      </w:r>
    </w:p>
    <w:p w14:paraId="6BA6D0EA" w14:textId="77777777" w:rsidR="009D71A6" w:rsidRPr="005866FD" w:rsidRDefault="009D71A6" w:rsidP="005C5128">
      <w:pPr>
        <w:autoSpaceDE w:val="0"/>
        <w:autoSpaceDN w:val="0"/>
        <w:adjustRightInd w:val="0"/>
        <w:spacing w:after="0" w:line="240" w:lineRule="auto"/>
        <w:rPr>
          <w:rFonts w:ascii="Times New Roman" w:hAnsi="Times New Roman" w:cs="Times New Roman"/>
          <w:b/>
          <w:bCs/>
          <w:sz w:val="24"/>
          <w:szCs w:val="24"/>
        </w:rPr>
      </w:pPr>
    </w:p>
    <w:p w14:paraId="79A99392" w14:textId="77777777" w:rsidR="00263A16" w:rsidRDefault="00263A16" w:rsidP="005C512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Corbin, Chris.</w:t>
      </w:r>
      <w:r w:rsidRPr="005402F3">
        <w:rPr>
          <w:rFonts w:ascii="Times New Roman" w:hAnsi="Times New Roman" w:cs="Times New Roman"/>
          <w:bCs/>
          <w:sz w:val="24"/>
          <w:szCs w:val="24"/>
        </w:rPr>
        <w:t xml:space="preserve"> 2011. “8 </w:t>
      </w:r>
      <w:r>
        <w:rPr>
          <w:rFonts w:ascii="Times New Roman" w:hAnsi="Times New Roman" w:cs="Times New Roman"/>
          <w:bCs/>
          <w:sz w:val="24"/>
          <w:szCs w:val="24"/>
        </w:rPr>
        <w:t xml:space="preserve">Reasons Why Water is Not the Next Gold.” The Percolator. Bozeman, MT: Property and Environment Research Center. </w:t>
      </w:r>
    </w:p>
    <w:p w14:paraId="798F3DE6" w14:textId="77777777" w:rsidR="00263A16" w:rsidRDefault="00263A16" w:rsidP="005C5128">
      <w:pPr>
        <w:autoSpaceDE w:val="0"/>
        <w:autoSpaceDN w:val="0"/>
        <w:adjustRightInd w:val="0"/>
        <w:spacing w:after="0" w:line="240" w:lineRule="auto"/>
        <w:rPr>
          <w:rFonts w:ascii="Times New Roman" w:hAnsi="Times New Roman" w:cs="Times New Roman"/>
          <w:b/>
          <w:bCs/>
          <w:sz w:val="24"/>
          <w:szCs w:val="24"/>
        </w:rPr>
      </w:pPr>
    </w:p>
    <w:p w14:paraId="0746961F" w14:textId="77777777" w:rsidR="00A1237B" w:rsidRPr="00A1237B" w:rsidRDefault="00A1237B" w:rsidP="005C512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Dechenaux, Emmanuel, Dan Kovenock and Roman M. Sheremeta.</w:t>
      </w:r>
      <w:r>
        <w:rPr>
          <w:rFonts w:ascii="Times New Roman" w:hAnsi="Times New Roman" w:cs="Times New Roman"/>
          <w:bCs/>
          <w:sz w:val="24"/>
          <w:szCs w:val="24"/>
        </w:rPr>
        <w:t xml:space="preserve">  2012.  “A Survey of Experimental Research on Contests, All-Pay Auctions and Tournaments.”  Working Paper.</w:t>
      </w:r>
    </w:p>
    <w:p w14:paraId="39F9D697" w14:textId="77777777" w:rsidR="00A1237B" w:rsidRDefault="00A1237B" w:rsidP="005C5128">
      <w:pPr>
        <w:autoSpaceDE w:val="0"/>
        <w:autoSpaceDN w:val="0"/>
        <w:adjustRightInd w:val="0"/>
        <w:spacing w:after="0" w:line="240" w:lineRule="auto"/>
        <w:rPr>
          <w:rFonts w:ascii="Times New Roman" w:hAnsi="Times New Roman" w:cs="Times New Roman"/>
          <w:b/>
          <w:bCs/>
          <w:sz w:val="24"/>
          <w:szCs w:val="24"/>
        </w:rPr>
      </w:pPr>
    </w:p>
    <w:p w14:paraId="40AA2297" w14:textId="77777777" w:rsidR="006505F4" w:rsidRPr="005866FD" w:rsidRDefault="006505F4" w:rsidP="005C5128">
      <w:pPr>
        <w:autoSpaceDE w:val="0"/>
        <w:autoSpaceDN w:val="0"/>
        <w:adjustRightInd w:val="0"/>
        <w:spacing w:after="0" w:line="240" w:lineRule="auto"/>
        <w:rPr>
          <w:rFonts w:ascii="Times New Roman" w:hAnsi="Times New Roman" w:cs="Times New Roman"/>
          <w:b/>
          <w:bCs/>
          <w:sz w:val="24"/>
          <w:szCs w:val="24"/>
        </w:rPr>
      </w:pPr>
      <w:r w:rsidRPr="005866FD">
        <w:rPr>
          <w:rFonts w:ascii="Times New Roman" w:hAnsi="Times New Roman" w:cs="Times New Roman"/>
          <w:b/>
          <w:bCs/>
          <w:sz w:val="24"/>
          <w:szCs w:val="24"/>
        </w:rPr>
        <w:t>Epstein, Richard A.</w:t>
      </w:r>
      <w:r w:rsidRPr="005866FD">
        <w:rPr>
          <w:rFonts w:ascii="Times New Roman" w:hAnsi="Times New Roman" w:cs="Times New Roman"/>
          <w:bCs/>
          <w:sz w:val="24"/>
          <w:szCs w:val="24"/>
        </w:rPr>
        <w:t xml:space="preserve"> 1992. “Exit Rights under Federalism.” </w:t>
      </w:r>
      <w:r w:rsidRPr="005866FD">
        <w:rPr>
          <w:rFonts w:ascii="Times New Roman" w:hAnsi="Times New Roman" w:cs="Times New Roman"/>
          <w:bCs/>
          <w:i/>
          <w:sz w:val="24"/>
          <w:szCs w:val="24"/>
        </w:rPr>
        <w:t>Law and Contemporary Problems</w:t>
      </w:r>
      <w:r w:rsidRPr="005866FD">
        <w:rPr>
          <w:rFonts w:ascii="Times New Roman" w:hAnsi="Times New Roman" w:cs="Times New Roman"/>
          <w:bCs/>
          <w:sz w:val="24"/>
          <w:szCs w:val="24"/>
        </w:rPr>
        <w:t>, 55(1), 147-165.</w:t>
      </w:r>
    </w:p>
    <w:p w14:paraId="59FDDC7C" w14:textId="77777777" w:rsidR="006505F4" w:rsidRPr="005866FD" w:rsidRDefault="006505F4" w:rsidP="005C5128">
      <w:pPr>
        <w:autoSpaceDE w:val="0"/>
        <w:autoSpaceDN w:val="0"/>
        <w:adjustRightInd w:val="0"/>
        <w:spacing w:after="0" w:line="240" w:lineRule="auto"/>
        <w:rPr>
          <w:rFonts w:ascii="Times New Roman" w:hAnsi="Times New Roman" w:cs="Times New Roman"/>
          <w:b/>
          <w:bCs/>
          <w:sz w:val="24"/>
          <w:szCs w:val="24"/>
        </w:rPr>
      </w:pPr>
    </w:p>
    <w:p w14:paraId="7B0074E2" w14:textId="77777777" w:rsidR="004C3AFF" w:rsidRPr="005866FD" w:rsidRDefault="00D477A2" w:rsidP="005C5128">
      <w:pPr>
        <w:autoSpaceDE w:val="0"/>
        <w:autoSpaceDN w:val="0"/>
        <w:adjustRightInd w:val="0"/>
        <w:spacing w:after="0" w:line="240" w:lineRule="auto"/>
        <w:rPr>
          <w:rFonts w:ascii="Times New Roman" w:hAnsi="Times New Roman" w:cs="Times New Roman"/>
          <w:bCs/>
          <w:sz w:val="24"/>
          <w:szCs w:val="24"/>
        </w:rPr>
      </w:pPr>
      <w:r w:rsidRPr="005866FD">
        <w:rPr>
          <w:rFonts w:ascii="Times New Roman" w:hAnsi="Times New Roman" w:cs="Times New Roman"/>
          <w:b/>
          <w:bCs/>
          <w:sz w:val="24"/>
          <w:szCs w:val="24"/>
        </w:rPr>
        <w:t>_____.</w:t>
      </w:r>
      <w:r w:rsidR="004C3AFF" w:rsidRPr="005866FD">
        <w:rPr>
          <w:rFonts w:ascii="Times New Roman" w:hAnsi="Times New Roman" w:cs="Times New Roman"/>
          <w:bCs/>
          <w:sz w:val="24"/>
          <w:szCs w:val="24"/>
        </w:rPr>
        <w:t xml:space="preserve"> 1993. “Holdouts, Externalities, and the Single Owner: One More Salute to Ronald Coase.” </w:t>
      </w:r>
      <w:r w:rsidR="004C3AFF" w:rsidRPr="005866FD">
        <w:rPr>
          <w:rFonts w:ascii="Times New Roman" w:hAnsi="Times New Roman" w:cs="Times New Roman"/>
          <w:bCs/>
          <w:i/>
          <w:sz w:val="24"/>
          <w:szCs w:val="24"/>
        </w:rPr>
        <w:t>Journal of Law and Economics</w:t>
      </w:r>
      <w:r w:rsidR="004C3AFF" w:rsidRPr="005866FD">
        <w:rPr>
          <w:rFonts w:ascii="Times New Roman" w:hAnsi="Times New Roman" w:cs="Times New Roman"/>
          <w:bCs/>
          <w:sz w:val="24"/>
          <w:szCs w:val="24"/>
        </w:rPr>
        <w:t>, 36(1), 553-586.</w:t>
      </w:r>
    </w:p>
    <w:p w14:paraId="5B90FB42" w14:textId="77777777" w:rsidR="004C3AFF" w:rsidRPr="005866FD" w:rsidRDefault="004C3AFF" w:rsidP="005C5128">
      <w:pPr>
        <w:autoSpaceDE w:val="0"/>
        <w:autoSpaceDN w:val="0"/>
        <w:adjustRightInd w:val="0"/>
        <w:spacing w:after="0" w:line="240" w:lineRule="auto"/>
        <w:rPr>
          <w:rFonts w:ascii="Times New Roman" w:hAnsi="Times New Roman" w:cs="Times New Roman"/>
          <w:b/>
          <w:bCs/>
          <w:sz w:val="24"/>
          <w:szCs w:val="24"/>
        </w:rPr>
      </w:pPr>
    </w:p>
    <w:p w14:paraId="6404083D" w14:textId="77777777" w:rsidR="0041224B" w:rsidRDefault="0041224B" w:rsidP="006B3F4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Fennell, Lee Ann.</w:t>
      </w:r>
      <w:r w:rsidRPr="005402F3">
        <w:rPr>
          <w:rFonts w:ascii="Times New Roman" w:hAnsi="Times New Roman" w:cs="Times New Roman"/>
          <w:bCs/>
          <w:sz w:val="24"/>
          <w:szCs w:val="24"/>
        </w:rPr>
        <w:t xml:space="preserve"> 2004</w:t>
      </w:r>
      <w:r>
        <w:rPr>
          <w:rFonts w:ascii="Times New Roman" w:hAnsi="Times New Roman" w:cs="Times New Roman"/>
          <w:bCs/>
          <w:sz w:val="24"/>
          <w:szCs w:val="24"/>
        </w:rPr>
        <w:t xml:space="preserve">. “Common Interest Tragedies.” </w:t>
      </w:r>
      <w:r>
        <w:rPr>
          <w:rFonts w:ascii="Times New Roman" w:hAnsi="Times New Roman" w:cs="Times New Roman"/>
          <w:bCs/>
          <w:i/>
          <w:sz w:val="24"/>
          <w:szCs w:val="24"/>
        </w:rPr>
        <w:t>Northwestern University Law Review</w:t>
      </w:r>
      <w:r>
        <w:rPr>
          <w:rFonts w:ascii="Times New Roman" w:hAnsi="Times New Roman" w:cs="Times New Roman"/>
          <w:bCs/>
          <w:sz w:val="24"/>
          <w:szCs w:val="24"/>
        </w:rPr>
        <w:t xml:space="preserve">, 98(3), 907-990. </w:t>
      </w:r>
    </w:p>
    <w:p w14:paraId="09BCF045" w14:textId="77777777" w:rsidR="00D26586" w:rsidRDefault="00D26586" w:rsidP="006B3F47">
      <w:pPr>
        <w:autoSpaceDE w:val="0"/>
        <w:autoSpaceDN w:val="0"/>
        <w:adjustRightInd w:val="0"/>
        <w:spacing w:after="0" w:line="240" w:lineRule="auto"/>
        <w:rPr>
          <w:rFonts w:ascii="Times New Roman" w:hAnsi="Times New Roman" w:cs="Times New Roman"/>
          <w:bCs/>
          <w:sz w:val="24"/>
          <w:szCs w:val="24"/>
        </w:rPr>
      </w:pPr>
    </w:p>
    <w:p w14:paraId="305A2DF5" w14:textId="77777777" w:rsidR="00263A16" w:rsidRDefault="00263A16" w:rsidP="006B3F4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Hardin, Garret.</w:t>
      </w:r>
      <w:r>
        <w:rPr>
          <w:rFonts w:ascii="Times New Roman" w:hAnsi="Times New Roman" w:cs="Times New Roman"/>
          <w:bCs/>
          <w:sz w:val="24"/>
          <w:szCs w:val="24"/>
        </w:rPr>
        <w:t xml:space="preserve"> </w:t>
      </w:r>
      <w:r w:rsidRPr="005402F3">
        <w:rPr>
          <w:rFonts w:ascii="Times New Roman" w:hAnsi="Times New Roman" w:cs="Times New Roman"/>
          <w:bCs/>
          <w:i/>
          <w:sz w:val="24"/>
          <w:szCs w:val="24"/>
        </w:rPr>
        <w:t>Filters Against Folly</w:t>
      </w:r>
      <w:r>
        <w:rPr>
          <w:rFonts w:ascii="Times New Roman" w:hAnsi="Times New Roman" w:cs="Times New Roman"/>
          <w:bCs/>
          <w:sz w:val="24"/>
          <w:szCs w:val="24"/>
        </w:rPr>
        <w:t>. New York, NY: Penguin, 1985. Print.</w:t>
      </w:r>
    </w:p>
    <w:p w14:paraId="0EA1CDE6" w14:textId="77777777" w:rsidR="00263A16" w:rsidRDefault="00263A16" w:rsidP="006B3F47">
      <w:pPr>
        <w:autoSpaceDE w:val="0"/>
        <w:autoSpaceDN w:val="0"/>
        <w:adjustRightInd w:val="0"/>
        <w:spacing w:after="0" w:line="240" w:lineRule="auto"/>
        <w:rPr>
          <w:rFonts w:ascii="Times New Roman" w:hAnsi="Times New Roman" w:cs="Times New Roman"/>
          <w:bCs/>
          <w:sz w:val="24"/>
          <w:szCs w:val="24"/>
        </w:rPr>
      </w:pPr>
    </w:p>
    <w:p w14:paraId="7064A560" w14:textId="77777777" w:rsidR="00263A16" w:rsidRPr="005402F3" w:rsidRDefault="00263A16" w:rsidP="006B3F47">
      <w:pPr>
        <w:autoSpaceDE w:val="0"/>
        <w:autoSpaceDN w:val="0"/>
        <w:adjustRightInd w:val="0"/>
        <w:spacing w:after="0" w:line="240" w:lineRule="auto"/>
        <w:rPr>
          <w:rFonts w:ascii="Times New Roman" w:hAnsi="Times New Roman" w:cs="Times New Roman"/>
          <w:bCs/>
          <w:sz w:val="24"/>
          <w:szCs w:val="24"/>
        </w:rPr>
      </w:pPr>
      <w:r w:rsidRPr="005866FD">
        <w:rPr>
          <w:rFonts w:ascii="Times New Roman" w:hAnsi="Times New Roman" w:cs="Times New Roman"/>
          <w:b/>
          <w:bCs/>
          <w:sz w:val="24"/>
          <w:szCs w:val="24"/>
        </w:rPr>
        <w:t>_____.</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1968. “The Tragedy of the Commons.” </w:t>
      </w:r>
      <w:r w:rsidRPr="005402F3">
        <w:rPr>
          <w:rFonts w:ascii="Times New Roman" w:hAnsi="Times New Roman" w:cs="Times New Roman"/>
          <w:bCs/>
          <w:i/>
          <w:sz w:val="24"/>
          <w:szCs w:val="24"/>
        </w:rPr>
        <w:t>Science</w:t>
      </w:r>
      <w:r>
        <w:rPr>
          <w:rFonts w:ascii="Times New Roman" w:hAnsi="Times New Roman" w:cs="Times New Roman"/>
          <w:bCs/>
          <w:sz w:val="24"/>
          <w:szCs w:val="24"/>
        </w:rPr>
        <w:t>, 162(3859), 1243-48.</w:t>
      </w:r>
    </w:p>
    <w:p w14:paraId="60295640" w14:textId="77777777" w:rsidR="00263A16" w:rsidRDefault="00263A16" w:rsidP="006B3F47">
      <w:pPr>
        <w:autoSpaceDE w:val="0"/>
        <w:autoSpaceDN w:val="0"/>
        <w:adjustRightInd w:val="0"/>
        <w:spacing w:after="0" w:line="240" w:lineRule="auto"/>
        <w:rPr>
          <w:rFonts w:ascii="Times New Roman" w:hAnsi="Times New Roman" w:cs="Times New Roman"/>
          <w:b/>
          <w:bCs/>
          <w:sz w:val="24"/>
          <w:szCs w:val="24"/>
        </w:rPr>
      </w:pPr>
    </w:p>
    <w:p w14:paraId="2CDEB130" w14:textId="77777777" w:rsidR="00D26586" w:rsidRDefault="00D26586" w:rsidP="006B3F47">
      <w:pPr>
        <w:autoSpaceDE w:val="0"/>
        <w:autoSpaceDN w:val="0"/>
        <w:adjustRightInd w:val="0"/>
        <w:spacing w:after="0" w:line="240" w:lineRule="auto"/>
        <w:rPr>
          <w:rFonts w:ascii="Times New Roman" w:hAnsi="Times New Roman" w:cs="Times New Roman"/>
          <w:bCs/>
          <w:sz w:val="24"/>
          <w:szCs w:val="24"/>
        </w:rPr>
      </w:pPr>
      <w:r w:rsidRPr="005402F3">
        <w:rPr>
          <w:rFonts w:ascii="Times New Roman" w:hAnsi="Times New Roman" w:cs="Times New Roman"/>
          <w:b/>
          <w:bCs/>
          <w:sz w:val="24"/>
          <w:szCs w:val="24"/>
        </w:rPr>
        <w:t>Hazlett, Thomas</w:t>
      </w:r>
      <w:r w:rsidR="00FA4DED">
        <w:rPr>
          <w:rFonts w:ascii="Times New Roman" w:hAnsi="Times New Roman" w:cs="Times New Roman"/>
          <w:b/>
          <w:bCs/>
          <w:sz w:val="24"/>
          <w:szCs w:val="24"/>
        </w:rPr>
        <w:t xml:space="preserve"> W</w:t>
      </w:r>
      <w:r w:rsidRPr="005402F3">
        <w:rPr>
          <w:rFonts w:ascii="Times New Roman" w:hAnsi="Times New Roman" w:cs="Times New Roman"/>
          <w:b/>
          <w:bCs/>
          <w:sz w:val="24"/>
          <w:szCs w:val="24"/>
        </w:rPr>
        <w:t>.</w:t>
      </w:r>
      <w:r>
        <w:rPr>
          <w:rFonts w:ascii="Times New Roman" w:hAnsi="Times New Roman" w:cs="Times New Roman"/>
          <w:bCs/>
          <w:sz w:val="24"/>
          <w:szCs w:val="24"/>
        </w:rPr>
        <w:t xml:space="preserve"> 2008. “Property Rights and Wireless License Values.” </w:t>
      </w:r>
      <w:r>
        <w:rPr>
          <w:rFonts w:ascii="Times New Roman" w:hAnsi="Times New Roman" w:cs="Times New Roman"/>
          <w:bCs/>
          <w:i/>
          <w:sz w:val="24"/>
          <w:szCs w:val="24"/>
        </w:rPr>
        <w:t>Journal of Law and Economics</w:t>
      </w:r>
      <w:r>
        <w:rPr>
          <w:rFonts w:ascii="Times New Roman" w:hAnsi="Times New Roman" w:cs="Times New Roman"/>
          <w:bCs/>
          <w:sz w:val="24"/>
          <w:szCs w:val="24"/>
        </w:rPr>
        <w:t>, 51(3), 563-598.</w:t>
      </w:r>
    </w:p>
    <w:p w14:paraId="76405367" w14:textId="77777777" w:rsidR="007C5129" w:rsidRDefault="007C5129" w:rsidP="006B3F47">
      <w:pPr>
        <w:autoSpaceDE w:val="0"/>
        <w:autoSpaceDN w:val="0"/>
        <w:adjustRightInd w:val="0"/>
        <w:spacing w:after="0" w:line="240" w:lineRule="auto"/>
        <w:rPr>
          <w:rFonts w:ascii="Times New Roman" w:hAnsi="Times New Roman" w:cs="Times New Roman"/>
          <w:bCs/>
          <w:sz w:val="24"/>
          <w:szCs w:val="24"/>
        </w:rPr>
      </w:pPr>
    </w:p>
    <w:p w14:paraId="1CCC95E0" w14:textId="77777777" w:rsidR="007C5129" w:rsidRPr="005402F3" w:rsidRDefault="007C5129" w:rsidP="006B3F47">
      <w:pPr>
        <w:autoSpaceDE w:val="0"/>
        <w:autoSpaceDN w:val="0"/>
        <w:adjustRightInd w:val="0"/>
        <w:spacing w:after="0" w:line="240" w:lineRule="auto"/>
        <w:rPr>
          <w:rFonts w:ascii="Times New Roman" w:hAnsi="Times New Roman" w:cs="Times New Roman"/>
          <w:bCs/>
          <w:sz w:val="24"/>
          <w:szCs w:val="24"/>
        </w:rPr>
      </w:pPr>
      <w:r w:rsidRPr="005866FD">
        <w:rPr>
          <w:rFonts w:ascii="Times New Roman" w:hAnsi="Times New Roman" w:cs="Times New Roman"/>
          <w:b/>
          <w:bCs/>
          <w:sz w:val="24"/>
          <w:szCs w:val="24"/>
        </w:rPr>
        <w:t>_____.</w:t>
      </w:r>
      <w:r w:rsidR="001332C9">
        <w:rPr>
          <w:rFonts w:ascii="Times New Roman" w:hAnsi="Times New Roman" w:cs="Times New Roman"/>
          <w:bCs/>
          <w:sz w:val="24"/>
          <w:szCs w:val="24"/>
        </w:rPr>
        <w:t xml:space="preserve"> 2014. “Efficient Spectrum Reallocation with Hold-Ups and Without Nirvana.” George Mason Law &amp; Economics Research Paper No. 14-16.  Available at SSRN: </w:t>
      </w:r>
      <w:hyperlink r:id="rId9" w:history="1">
        <w:r w:rsidR="001332C9" w:rsidRPr="005402F3">
          <w:rPr>
            <w:rStyle w:val="Hyperlink"/>
            <w:rFonts w:ascii="Times New Roman" w:hAnsi="Times New Roman" w:cs="Times New Roman"/>
            <w:sz w:val="24"/>
            <w:szCs w:val="24"/>
          </w:rPr>
          <w:t>http://ssrn.com/abstract=2440003</w:t>
        </w:r>
      </w:hyperlink>
      <w:r w:rsidR="001332C9" w:rsidRPr="005402F3">
        <w:rPr>
          <w:rStyle w:val="apple-converted-space"/>
          <w:rFonts w:ascii="Times New Roman" w:hAnsi="Times New Roman" w:cs="Times New Roman"/>
          <w:color w:val="003366"/>
          <w:sz w:val="24"/>
          <w:szCs w:val="24"/>
          <w:shd w:val="clear" w:color="auto" w:fill="F2F2F2"/>
        </w:rPr>
        <w:t> </w:t>
      </w:r>
      <w:r w:rsidR="001332C9" w:rsidRPr="005402F3">
        <w:rPr>
          <w:rFonts w:ascii="Times New Roman" w:hAnsi="Times New Roman" w:cs="Times New Roman"/>
          <w:color w:val="003366"/>
          <w:sz w:val="24"/>
          <w:szCs w:val="24"/>
          <w:shd w:val="clear" w:color="auto" w:fill="F2F2F2"/>
        </w:rPr>
        <w:t>or</w:t>
      </w:r>
      <w:hyperlink r:id="rId10" w:tgtFrame="_blank" w:history="1">
        <w:r w:rsidR="001332C9" w:rsidRPr="005402F3">
          <w:rPr>
            <w:rStyle w:val="Hyperlink"/>
            <w:rFonts w:ascii="Times New Roman" w:hAnsi="Times New Roman" w:cs="Times New Roman"/>
            <w:color w:val="666666"/>
            <w:sz w:val="24"/>
            <w:szCs w:val="24"/>
          </w:rPr>
          <w:t>http://dx.doi.org/10.2139/ssrn.2440003</w:t>
        </w:r>
      </w:hyperlink>
      <w:r w:rsidR="001332C9">
        <w:t xml:space="preserve"> </w:t>
      </w:r>
    </w:p>
    <w:p w14:paraId="6F9E64CD" w14:textId="77777777" w:rsidR="0041224B" w:rsidRDefault="0041224B" w:rsidP="006B3F47">
      <w:pPr>
        <w:autoSpaceDE w:val="0"/>
        <w:autoSpaceDN w:val="0"/>
        <w:adjustRightInd w:val="0"/>
        <w:spacing w:after="0" w:line="240" w:lineRule="auto"/>
        <w:rPr>
          <w:rFonts w:ascii="Times New Roman" w:hAnsi="Times New Roman" w:cs="Times New Roman"/>
          <w:b/>
          <w:bCs/>
          <w:sz w:val="24"/>
          <w:szCs w:val="24"/>
        </w:rPr>
      </w:pPr>
    </w:p>
    <w:p w14:paraId="2A8DEFAE" w14:textId="77777777" w:rsidR="006F70B7" w:rsidRDefault="006F70B7" w:rsidP="006B3F4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Heller, Michael A.</w:t>
      </w:r>
      <w:r>
        <w:rPr>
          <w:rFonts w:ascii="Times New Roman" w:hAnsi="Times New Roman" w:cs="Times New Roman"/>
          <w:bCs/>
          <w:sz w:val="24"/>
          <w:szCs w:val="24"/>
        </w:rPr>
        <w:t xml:space="preserve"> 1998. “The Tragedy of the Anticommons: Property in the Transition from Marx to Markets.” </w:t>
      </w:r>
      <w:r>
        <w:rPr>
          <w:rFonts w:ascii="Times New Roman" w:hAnsi="Times New Roman" w:cs="Times New Roman"/>
          <w:bCs/>
          <w:i/>
          <w:sz w:val="24"/>
          <w:szCs w:val="24"/>
        </w:rPr>
        <w:t>Harvard Law Review</w:t>
      </w:r>
      <w:r>
        <w:rPr>
          <w:rFonts w:ascii="Times New Roman" w:hAnsi="Times New Roman" w:cs="Times New Roman"/>
          <w:bCs/>
          <w:sz w:val="24"/>
          <w:szCs w:val="24"/>
        </w:rPr>
        <w:t>, 111(3), 621-688.</w:t>
      </w:r>
    </w:p>
    <w:p w14:paraId="2230AC92" w14:textId="77777777" w:rsidR="00D26586" w:rsidRDefault="00D26586" w:rsidP="006B3F47">
      <w:pPr>
        <w:autoSpaceDE w:val="0"/>
        <w:autoSpaceDN w:val="0"/>
        <w:adjustRightInd w:val="0"/>
        <w:spacing w:after="0" w:line="240" w:lineRule="auto"/>
        <w:rPr>
          <w:rFonts w:ascii="Times New Roman" w:hAnsi="Times New Roman" w:cs="Times New Roman"/>
          <w:bCs/>
          <w:sz w:val="24"/>
          <w:szCs w:val="24"/>
        </w:rPr>
      </w:pPr>
    </w:p>
    <w:p w14:paraId="40592605" w14:textId="77777777" w:rsidR="00D26586" w:rsidRDefault="00D26586" w:rsidP="006B3F47">
      <w:pPr>
        <w:autoSpaceDE w:val="0"/>
        <w:autoSpaceDN w:val="0"/>
        <w:adjustRightInd w:val="0"/>
        <w:spacing w:after="0" w:line="240" w:lineRule="auto"/>
        <w:rPr>
          <w:rFonts w:ascii="Times New Roman" w:hAnsi="Times New Roman" w:cs="Times New Roman"/>
          <w:bCs/>
          <w:sz w:val="24"/>
          <w:szCs w:val="24"/>
        </w:rPr>
      </w:pPr>
      <w:r w:rsidRPr="005866FD">
        <w:rPr>
          <w:rFonts w:ascii="Times New Roman" w:hAnsi="Times New Roman" w:cs="Times New Roman"/>
          <w:b/>
          <w:bCs/>
          <w:sz w:val="24"/>
          <w:szCs w:val="24"/>
        </w:rPr>
        <w:t>_____.</w:t>
      </w:r>
      <w:r>
        <w:rPr>
          <w:rFonts w:ascii="Times New Roman" w:hAnsi="Times New Roman" w:cs="Times New Roman"/>
          <w:bCs/>
          <w:sz w:val="24"/>
          <w:szCs w:val="24"/>
        </w:rPr>
        <w:t xml:space="preserve"> </w:t>
      </w:r>
      <w:r w:rsidRPr="005402F3">
        <w:rPr>
          <w:rFonts w:ascii="Times New Roman" w:hAnsi="Times New Roman" w:cs="Times New Roman"/>
          <w:bCs/>
          <w:i/>
          <w:sz w:val="24"/>
          <w:szCs w:val="24"/>
        </w:rPr>
        <w:t>The Gridlock Economy: How Too Much Ownership Wrecks Markets, Stops Innovation, and Costs Lives</w:t>
      </w:r>
      <w:r>
        <w:rPr>
          <w:rFonts w:ascii="Times New Roman" w:hAnsi="Times New Roman" w:cs="Times New Roman"/>
          <w:bCs/>
          <w:sz w:val="24"/>
          <w:szCs w:val="24"/>
        </w:rPr>
        <w:t>.  New York, NY: Basic Books, 2008. Print.</w:t>
      </w:r>
    </w:p>
    <w:p w14:paraId="37146482" w14:textId="77777777" w:rsidR="00FA4DED" w:rsidRDefault="00FA4DED" w:rsidP="006B3F47">
      <w:pPr>
        <w:autoSpaceDE w:val="0"/>
        <w:autoSpaceDN w:val="0"/>
        <w:adjustRightInd w:val="0"/>
        <w:spacing w:after="0" w:line="240" w:lineRule="auto"/>
        <w:rPr>
          <w:rFonts w:ascii="Times New Roman" w:hAnsi="Times New Roman" w:cs="Times New Roman"/>
          <w:b/>
          <w:bCs/>
          <w:sz w:val="24"/>
          <w:szCs w:val="24"/>
        </w:rPr>
      </w:pPr>
    </w:p>
    <w:p w14:paraId="2460AF23" w14:textId="77777777" w:rsidR="00FA4DED" w:rsidRPr="00FA4DED" w:rsidRDefault="00FA4DED" w:rsidP="006B3F47">
      <w:pPr>
        <w:autoSpaceDE w:val="0"/>
        <w:autoSpaceDN w:val="0"/>
        <w:adjustRightInd w:val="0"/>
        <w:spacing w:after="0" w:line="240" w:lineRule="auto"/>
        <w:rPr>
          <w:rFonts w:ascii="Times New Roman" w:hAnsi="Times New Roman" w:cs="Times New Roman"/>
          <w:bCs/>
          <w:sz w:val="24"/>
          <w:szCs w:val="24"/>
        </w:rPr>
      </w:pPr>
      <w:r w:rsidRPr="005866FD">
        <w:rPr>
          <w:rFonts w:ascii="Times New Roman" w:hAnsi="Times New Roman" w:cs="Times New Roman"/>
          <w:b/>
          <w:bCs/>
          <w:sz w:val="24"/>
          <w:szCs w:val="24"/>
        </w:rPr>
        <w:t>_____</w:t>
      </w:r>
      <w:r>
        <w:rPr>
          <w:rFonts w:ascii="Times New Roman" w:hAnsi="Times New Roman" w:cs="Times New Roman"/>
          <w:b/>
          <w:bCs/>
          <w:sz w:val="24"/>
          <w:szCs w:val="24"/>
        </w:rPr>
        <w:t>, and Rebecca S. Eisenberg</w:t>
      </w:r>
      <w:r w:rsidRPr="005866FD">
        <w:rPr>
          <w:rFonts w:ascii="Times New Roman" w:hAnsi="Times New Roman" w:cs="Times New Roman"/>
          <w:b/>
          <w:bCs/>
          <w:sz w:val="24"/>
          <w:szCs w:val="24"/>
        </w:rPr>
        <w:t>.</w:t>
      </w:r>
      <w:r>
        <w:rPr>
          <w:rFonts w:ascii="Times New Roman" w:hAnsi="Times New Roman" w:cs="Times New Roman"/>
          <w:bCs/>
          <w:sz w:val="24"/>
          <w:szCs w:val="24"/>
        </w:rPr>
        <w:t xml:space="preserve"> 1998. “Can Patents Deter Innovation? The Anticommons in Biomedical Research.” </w:t>
      </w:r>
      <w:r w:rsidRPr="005402F3">
        <w:rPr>
          <w:rFonts w:ascii="Times New Roman" w:hAnsi="Times New Roman" w:cs="Times New Roman"/>
          <w:bCs/>
          <w:i/>
          <w:sz w:val="24"/>
          <w:szCs w:val="24"/>
        </w:rPr>
        <w:t>Science</w:t>
      </w:r>
      <w:r>
        <w:rPr>
          <w:rFonts w:ascii="Times New Roman" w:hAnsi="Times New Roman" w:cs="Times New Roman"/>
          <w:bCs/>
          <w:sz w:val="24"/>
          <w:szCs w:val="24"/>
        </w:rPr>
        <w:t>, 280(5364), 698-701.</w:t>
      </w:r>
    </w:p>
    <w:p w14:paraId="2C2B9860" w14:textId="77777777" w:rsidR="00FA4DED" w:rsidRPr="005402F3" w:rsidRDefault="00FA4DED" w:rsidP="006B3F47">
      <w:pPr>
        <w:autoSpaceDE w:val="0"/>
        <w:autoSpaceDN w:val="0"/>
        <w:adjustRightInd w:val="0"/>
        <w:spacing w:after="0" w:line="240" w:lineRule="auto"/>
        <w:rPr>
          <w:rFonts w:ascii="Times New Roman" w:hAnsi="Times New Roman" w:cs="Times New Roman"/>
          <w:bCs/>
          <w:sz w:val="24"/>
          <w:szCs w:val="24"/>
        </w:rPr>
      </w:pPr>
    </w:p>
    <w:p w14:paraId="1F81595E" w14:textId="77777777" w:rsidR="006F70B7" w:rsidRDefault="006F70B7" w:rsidP="006B3F47">
      <w:pPr>
        <w:autoSpaceDE w:val="0"/>
        <w:autoSpaceDN w:val="0"/>
        <w:adjustRightInd w:val="0"/>
        <w:spacing w:after="0" w:line="240" w:lineRule="auto"/>
        <w:rPr>
          <w:rFonts w:ascii="Times New Roman" w:hAnsi="Times New Roman" w:cs="Times New Roman"/>
          <w:b/>
          <w:bCs/>
          <w:sz w:val="24"/>
          <w:szCs w:val="24"/>
        </w:rPr>
      </w:pPr>
    </w:p>
    <w:p w14:paraId="404E315B" w14:textId="77777777" w:rsidR="00263A16" w:rsidRPr="00263A16" w:rsidRDefault="00263A16" w:rsidP="006B3F4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Kollock, Peter.</w:t>
      </w:r>
      <w:r w:rsidRPr="005402F3">
        <w:rPr>
          <w:rFonts w:ascii="Times New Roman" w:hAnsi="Times New Roman" w:cs="Times New Roman"/>
          <w:bCs/>
          <w:sz w:val="24"/>
          <w:szCs w:val="24"/>
        </w:rPr>
        <w:t xml:space="preserve"> 1998</w:t>
      </w:r>
      <w:r>
        <w:rPr>
          <w:rFonts w:ascii="Times New Roman" w:hAnsi="Times New Roman" w:cs="Times New Roman"/>
          <w:bCs/>
          <w:sz w:val="24"/>
          <w:szCs w:val="24"/>
        </w:rPr>
        <w:t xml:space="preserve">. “Social Dilemmas: The Anatomy of Cooperation.” </w:t>
      </w:r>
      <w:r>
        <w:rPr>
          <w:rFonts w:ascii="Times New Roman" w:hAnsi="Times New Roman" w:cs="Times New Roman"/>
          <w:bCs/>
          <w:i/>
          <w:sz w:val="24"/>
          <w:szCs w:val="24"/>
        </w:rPr>
        <w:t>Annual Review of Sociology</w:t>
      </w:r>
      <w:r>
        <w:rPr>
          <w:rFonts w:ascii="Times New Roman" w:hAnsi="Times New Roman" w:cs="Times New Roman"/>
          <w:bCs/>
          <w:sz w:val="24"/>
          <w:szCs w:val="24"/>
        </w:rPr>
        <w:t>, 24, 183-214.</w:t>
      </w:r>
    </w:p>
    <w:p w14:paraId="12C85178" w14:textId="77777777" w:rsidR="00263A16" w:rsidRDefault="00263A16" w:rsidP="006B3F47">
      <w:pPr>
        <w:autoSpaceDE w:val="0"/>
        <w:autoSpaceDN w:val="0"/>
        <w:adjustRightInd w:val="0"/>
        <w:spacing w:after="0" w:line="240" w:lineRule="auto"/>
        <w:rPr>
          <w:rFonts w:ascii="Times New Roman" w:hAnsi="Times New Roman" w:cs="Times New Roman"/>
          <w:b/>
          <w:bCs/>
          <w:sz w:val="24"/>
          <w:szCs w:val="24"/>
        </w:rPr>
      </w:pPr>
    </w:p>
    <w:p w14:paraId="29EA212B" w14:textId="77777777" w:rsidR="004578E2" w:rsidRPr="005866FD" w:rsidRDefault="004578E2" w:rsidP="006B3F47">
      <w:pPr>
        <w:autoSpaceDE w:val="0"/>
        <w:autoSpaceDN w:val="0"/>
        <w:adjustRightInd w:val="0"/>
        <w:spacing w:after="0" w:line="240" w:lineRule="auto"/>
        <w:rPr>
          <w:rFonts w:ascii="Times New Roman" w:hAnsi="Times New Roman" w:cs="Times New Roman"/>
          <w:bCs/>
          <w:sz w:val="24"/>
          <w:szCs w:val="24"/>
        </w:rPr>
      </w:pPr>
      <w:r w:rsidRPr="005866FD">
        <w:rPr>
          <w:rFonts w:ascii="Times New Roman" w:hAnsi="Times New Roman" w:cs="Times New Roman"/>
          <w:b/>
          <w:bCs/>
          <w:sz w:val="24"/>
          <w:szCs w:val="24"/>
        </w:rPr>
        <w:t>Menezes, Flavio and Rohan Pitchford.</w:t>
      </w:r>
      <w:r w:rsidRPr="005866FD">
        <w:rPr>
          <w:rFonts w:ascii="Times New Roman" w:hAnsi="Times New Roman" w:cs="Times New Roman"/>
          <w:bCs/>
          <w:sz w:val="24"/>
          <w:szCs w:val="24"/>
        </w:rPr>
        <w:t xml:space="preserve"> 2004. “The Land Assembly Problem Revisited.” </w:t>
      </w:r>
      <w:r w:rsidRPr="005866FD">
        <w:rPr>
          <w:rFonts w:ascii="Times New Roman" w:hAnsi="Times New Roman" w:cs="Times New Roman"/>
          <w:bCs/>
          <w:i/>
          <w:sz w:val="24"/>
          <w:szCs w:val="24"/>
        </w:rPr>
        <w:t>Regional Science and Urban Economics</w:t>
      </w:r>
      <w:r w:rsidRPr="005866FD">
        <w:rPr>
          <w:rFonts w:ascii="Times New Roman" w:hAnsi="Times New Roman" w:cs="Times New Roman"/>
          <w:bCs/>
          <w:sz w:val="24"/>
          <w:szCs w:val="24"/>
        </w:rPr>
        <w:t>, 34(2), 155-162.</w:t>
      </w:r>
    </w:p>
    <w:p w14:paraId="1607276B" w14:textId="77777777" w:rsidR="004578E2" w:rsidRPr="005866FD" w:rsidRDefault="004578E2" w:rsidP="006B3F47">
      <w:pPr>
        <w:autoSpaceDE w:val="0"/>
        <w:autoSpaceDN w:val="0"/>
        <w:adjustRightInd w:val="0"/>
        <w:spacing w:after="0" w:line="240" w:lineRule="auto"/>
        <w:rPr>
          <w:rFonts w:ascii="Times New Roman" w:hAnsi="Times New Roman" w:cs="Times New Roman"/>
          <w:b/>
          <w:bCs/>
          <w:sz w:val="24"/>
          <w:szCs w:val="24"/>
        </w:rPr>
      </w:pPr>
    </w:p>
    <w:p w14:paraId="2B800193" w14:textId="77777777" w:rsidR="006B3F47" w:rsidRPr="005866FD" w:rsidRDefault="006B3F47" w:rsidP="006B3F47">
      <w:pPr>
        <w:autoSpaceDE w:val="0"/>
        <w:autoSpaceDN w:val="0"/>
        <w:adjustRightInd w:val="0"/>
        <w:spacing w:after="0" w:line="240" w:lineRule="auto"/>
        <w:rPr>
          <w:rFonts w:ascii="Times New Roman" w:hAnsi="Times New Roman" w:cs="Times New Roman"/>
          <w:sz w:val="24"/>
          <w:szCs w:val="24"/>
        </w:rPr>
      </w:pPr>
      <w:r w:rsidRPr="005866FD">
        <w:rPr>
          <w:rFonts w:ascii="Times New Roman" w:hAnsi="Times New Roman" w:cs="Times New Roman"/>
          <w:b/>
          <w:bCs/>
          <w:sz w:val="24"/>
          <w:szCs w:val="24"/>
        </w:rPr>
        <w:t>Miceli, Thomas J. and C.F. Sirmans.</w:t>
      </w:r>
      <w:r w:rsidRPr="005866FD">
        <w:rPr>
          <w:rFonts w:ascii="Times New Roman" w:hAnsi="Times New Roman" w:cs="Times New Roman"/>
          <w:sz w:val="24"/>
          <w:szCs w:val="24"/>
        </w:rPr>
        <w:t xml:space="preserve"> 2007. "The Holdout Problem, Urban Sprawl, and Eminent Domain." </w:t>
      </w:r>
      <w:r w:rsidRPr="005866FD">
        <w:rPr>
          <w:rFonts w:ascii="Times New Roman" w:hAnsi="Times New Roman" w:cs="Times New Roman"/>
          <w:i/>
          <w:iCs/>
          <w:sz w:val="24"/>
          <w:szCs w:val="24"/>
        </w:rPr>
        <w:t>Journal of Housing Economics</w:t>
      </w:r>
      <w:r w:rsidRPr="005866FD">
        <w:rPr>
          <w:rFonts w:ascii="Times New Roman" w:hAnsi="Times New Roman" w:cs="Times New Roman"/>
          <w:sz w:val="24"/>
          <w:szCs w:val="24"/>
        </w:rPr>
        <w:t>, 16(3), 309-19.</w:t>
      </w:r>
    </w:p>
    <w:p w14:paraId="68C925BD" w14:textId="77777777" w:rsidR="006B3F47" w:rsidRPr="005866FD" w:rsidRDefault="006B3F47" w:rsidP="006B3F47">
      <w:pPr>
        <w:autoSpaceDE w:val="0"/>
        <w:autoSpaceDN w:val="0"/>
        <w:adjustRightInd w:val="0"/>
        <w:spacing w:after="0" w:line="240" w:lineRule="auto"/>
        <w:rPr>
          <w:rFonts w:ascii="Times New Roman" w:hAnsi="Times New Roman" w:cs="Times New Roman"/>
          <w:sz w:val="24"/>
          <w:szCs w:val="24"/>
        </w:rPr>
      </w:pPr>
    </w:p>
    <w:p w14:paraId="07B9AC7D" w14:textId="77777777" w:rsidR="00F27506" w:rsidRPr="005866FD" w:rsidRDefault="00F27506" w:rsidP="006B3F47">
      <w:pPr>
        <w:autoSpaceDE w:val="0"/>
        <w:autoSpaceDN w:val="0"/>
        <w:adjustRightInd w:val="0"/>
        <w:spacing w:after="0" w:line="240" w:lineRule="auto"/>
        <w:rPr>
          <w:rFonts w:ascii="Times New Roman" w:hAnsi="Times New Roman" w:cs="Times New Roman"/>
          <w:sz w:val="24"/>
          <w:szCs w:val="24"/>
        </w:rPr>
      </w:pPr>
      <w:r w:rsidRPr="005866FD">
        <w:rPr>
          <w:rFonts w:ascii="Times New Roman" w:hAnsi="Times New Roman" w:cs="Times New Roman"/>
          <w:b/>
          <w:sz w:val="24"/>
          <w:szCs w:val="24"/>
        </w:rPr>
        <w:t>Miceli, Thomas J. and Kathleen Segerson.</w:t>
      </w:r>
      <w:r w:rsidRPr="005866FD">
        <w:rPr>
          <w:rFonts w:ascii="Times New Roman" w:hAnsi="Times New Roman" w:cs="Times New Roman"/>
          <w:sz w:val="24"/>
          <w:szCs w:val="24"/>
        </w:rPr>
        <w:t xml:space="preserve">  2007. </w:t>
      </w:r>
      <w:r w:rsidRPr="005866FD">
        <w:rPr>
          <w:rFonts w:ascii="Times New Roman" w:hAnsi="Times New Roman" w:cs="Times New Roman"/>
          <w:i/>
          <w:sz w:val="24"/>
          <w:szCs w:val="24"/>
        </w:rPr>
        <w:t>American Law and Economics Review</w:t>
      </w:r>
      <w:r w:rsidRPr="005866FD">
        <w:rPr>
          <w:rFonts w:ascii="Times New Roman" w:hAnsi="Times New Roman" w:cs="Times New Roman"/>
          <w:sz w:val="24"/>
          <w:szCs w:val="24"/>
        </w:rPr>
        <w:t>, 9(1), 160-174.</w:t>
      </w:r>
    </w:p>
    <w:p w14:paraId="791AEF4E" w14:textId="77777777" w:rsidR="00F27506" w:rsidRPr="005866FD" w:rsidRDefault="00F27506" w:rsidP="006B3F47">
      <w:pPr>
        <w:autoSpaceDE w:val="0"/>
        <w:autoSpaceDN w:val="0"/>
        <w:adjustRightInd w:val="0"/>
        <w:spacing w:after="0" w:line="240" w:lineRule="auto"/>
        <w:rPr>
          <w:rFonts w:ascii="Times New Roman" w:hAnsi="Times New Roman" w:cs="Times New Roman"/>
          <w:b/>
          <w:sz w:val="24"/>
          <w:szCs w:val="24"/>
        </w:rPr>
      </w:pPr>
    </w:p>
    <w:p w14:paraId="195B7082" w14:textId="77777777" w:rsidR="00F27506" w:rsidRPr="005866FD" w:rsidRDefault="00F27506" w:rsidP="006B3F47">
      <w:pPr>
        <w:autoSpaceDE w:val="0"/>
        <w:autoSpaceDN w:val="0"/>
        <w:adjustRightInd w:val="0"/>
        <w:spacing w:after="0" w:line="240" w:lineRule="auto"/>
        <w:rPr>
          <w:rFonts w:ascii="Times New Roman" w:hAnsi="Times New Roman" w:cs="Times New Roman"/>
          <w:sz w:val="24"/>
          <w:szCs w:val="24"/>
        </w:rPr>
      </w:pPr>
      <w:r w:rsidRPr="005866FD">
        <w:rPr>
          <w:rFonts w:ascii="Times New Roman" w:hAnsi="Times New Roman" w:cs="Times New Roman"/>
          <w:b/>
          <w:sz w:val="24"/>
          <w:szCs w:val="24"/>
        </w:rPr>
        <w:t>Munch, Patricia.</w:t>
      </w:r>
      <w:r w:rsidRPr="005866FD">
        <w:rPr>
          <w:rFonts w:ascii="Times New Roman" w:hAnsi="Times New Roman" w:cs="Times New Roman"/>
          <w:sz w:val="24"/>
          <w:szCs w:val="24"/>
        </w:rPr>
        <w:t xml:space="preserve"> 1976. “An Economic Analysis of Eminent Domain.” </w:t>
      </w:r>
      <w:r w:rsidRPr="005866FD">
        <w:rPr>
          <w:rFonts w:ascii="Times New Roman" w:hAnsi="Times New Roman" w:cs="Times New Roman"/>
          <w:i/>
          <w:sz w:val="24"/>
          <w:szCs w:val="24"/>
        </w:rPr>
        <w:t>Journal of Political Economy</w:t>
      </w:r>
      <w:r w:rsidRPr="005866FD">
        <w:rPr>
          <w:rFonts w:ascii="Times New Roman" w:hAnsi="Times New Roman" w:cs="Times New Roman"/>
          <w:sz w:val="24"/>
          <w:szCs w:val="24"/>
        </w:rPr>
        <w:t>, 84(3), 473-498.</w:t>
      </w:r>
    </w:p>
    <w:p w14:paraId="63F7F7BA" w14:textId="77777777" w:rsidR="00F27506" w:rsidRPr="005866FD" w:rsidRDefault="00F27506" w:rsidP="006B3F47">
      <w:pPr>
        <w:autoSpaceDE w:val="0"/>
        <w:autoSpaceDN w:val="0"/>
        <w:adjustRightInd w:val="0"/>
        <w:spacing w:after="0" w:line="240" w:lineRule="auto"/>
        <w:rPr>
          <w:rFonts w:ascii="Times New Roman" w:hAnsi="Times New Roman" w:cs="Times New Roman"/>
          <w:sz w:val="24"/>
          <w:szCs w:val="24"/>
        </w:rPr>
      </w:pPr>
    </w:p>
    <w:p w14:paraId="3AE785DE" w14:textId="77777777" w:rsidR="00B72CAA" w:rsidRPr="005866FD" w:rsidRDefault="00B72CAA" w:rsidP="006B3F47">
      <w:pPr>
        <w:autoSpaceDE w:val="0"/>
        <w:autoSpaceDN w:val="0"/>
        <w:adjustRightInd w:val="0"/>
        <w:spacing w:after="0" w:line="240" w:lineRule="auto"/>
        <w:rPr>
          <w:rFonts w:ascii="Times New Roman" w:hAnsi="Times New Roman" w:cs="Times New Roman"/>
          <w:b/>
          <w:bCs/>
          <w:sz w:val="24"/>
          <w:szCs w:val="24"/>
        </w:rPr>
      </w:pPr>
      <w:r w:rsidRPr="005866FD">
        <w:rPr>
          <w:rFonts w:ascii="Times New Roman" w:hAnsi="Times New Roman" w:cs="Times New Roman"/>
          <w:b/>
          <w:bCs/>
          <w:sz w:val="24"/>
          <w:szCs w:val="24"/>
        </w:rPr>
        <w:t>O’Flaherty, Brendan.</w:t>
      </w:r>
      <w:r w:rsidRPr="005866FD">
        <w:rPr>
          <w:rFonts w:ascii="Times New Roman" w:hAnsi="Times New Roman" w:cs="Times New Roman"/>
          <w:bCs/>
          <w:sz w:val="24"/>
          <w:szCs w:val="24"/>
        </w:rPr>
        <w:t xml:space="preserve"> 1994. “Land Assembly and Urban Renewal.” </w:t>
      </w:r>
      <w:r w:rsidRPr="005866FD">
        <w:rPr>
          <w:rFonts w:ascii="Times New Roman" w:hAnsi="Times New Roman" w:cs="Times New Roman"/>
          <w:bCs/>
          <w:i/>
          <w:sz w:val="24"/>
          <w:szCs w:val="24"/>
        </w:rPr>
        <w:t>Regional Science and Urban Economics</w:t>
      </w:r>
      <w:r w:rsidRPr="005866FD">
        <w:rPr>
          <w:rFonts w:ascii="Times New Roman" w:hAnsi="Times New Roman" w:cs="Times New Roman"/>
          <w:bCs/>
          <w:sz w:val="24"/>
          <w:szCs w:val="24"/>
        </w:rPr>
        <w:t>, 24(3), 287-300.</w:t>
      </w:r>
    </w:p>
    <w:p w14:paraId="5F0773AF" w14:textId="77777777" w:rsidR="00B72CAA" w:rsidRPr="005866FD" w:rsidRDefault="00B72CAA" w:rsidP="006B3F47">
      <w:pPr>
        <w:autoSpaceDE w:val="0"/>
        <w:autoSpaceDN w:val="0"/>
        <w:adjustRightInd w:val="0"/>
        <w:spacing w:after="0" w:line="240" w:lineRule="auto"/>
        <w:rPr>
          <w:rFonts w:ascii="Times New Roman" w:hAnsi="Times New Roman" w:cs="Times New Roman"/>
          <w:b/>
          <w:bCs/>
          <w:sz w:val="24"/>
          <w:szCs w:val="24"/>
        </w:rPr>
      </w:pPr>
    </w:p>
    <w:p w14:paraId="3BEDD8D7" w14:textId="77777777" w:rsidR="00615727" w:rsidRPr="005866FD" w:rsidRDefault="00615727" w:rsidP="00615727">
      <w:pPr>
        <w:spacing w:after="200" w:line="276" w:lineRule="auto"/>
        <w:contextualSpacing/>
        <w:rPr>
          <w:rFonts w:ascii="Times New Roman" w:hAnsi="Times New Roman" w:cs="Times New Roman"/>
          <w:sz w:val="24"/>
          <w:szCs w:val="24"/>
        </w:rPr>
      </w:pPr>
      <w:r w:rsidRPr="005866FD">
        <w:rPr>
          <w:rFonts w:ascii="Times New Roman" w:hAnsi="Times New Roman" w:cs="Times New Roman"/>
          <w:b/>
          <w:sz w:val="24"/>
          <w:szCs w:val="24"/>
        </w:rPr>
        <w:t>Parente, Michael</w:t>
      </w:r>
      <w:r w:rsidR="00FA4DED">
        <w:rPr>
          <w:rFonts w:ascii="Times New Roman" w:hAnsi="Times New Roman" w:cs="Times New Roman"/>
          <w:b/>
          <w:sz w:val="24"/>
          <w:szCs w:val="24"/>
        </w:rPr>
        <w:t xml:space="preserve"> L.</w:t>
      </w:r>
      <w:r w:rsidRPr="005866FD">
        <w:rPr>
          <w:rFonts w:ascii="Times New Roman" w:hAnsi="Times New Roman" w:cs="Times New Roman"/>
          <w:b/>
          <w:sz w:val="24"/>
          <w:szCs w:val="24"/>
        </w:rPr>
        <w:t xml:space="preserve"> and Abel </w:t>
      </w:r>
      <w:r w:rsidR="00FA4DED">
        <w:rPr>
          <w:rFonts w:ascii="Times New Roman" w:hAnsi="Times New Roman" w:cs="Times New Roman"/>
          <w:b/>
          <w:sz w:val="24"/>
          <w:szCs w:val="24"/>
        </w:rPr>
        <w:t xml:space="preserve">M. </w:t>
      </w:r>
      <w:r w:rsidRPr="005866FD">
        <w:rPr>
          <w:rFonts w:ascii="Times New Roman" w:hAnsi="Times New Roman" w:cs="Times New Roman"/>
          <w:b/>
          <w:sz w:val="24"/>
          <w:szCs w:val="24"/>
        </w:rPr>
        <w:t>Winn.</w:t>
      </w:r>
      <w:r w:rsidRPr="005866FD">
        <w:rPr>
          <w:rFonts w:ascii="Times New Roman" w:hAnsi="Times New Roman" w:cs="Times New Roman"/>
          <w:sz w:val="24"/>
          <w:szCs w:val="24"/>
        </w:rPr>
        <w:t xml:space="preserve"> 2012.  “Bargaining Behavior and the Tragedy of the </w:t>
      </w:r>
    </w:p>
    <w:p w14:paraId="2EA488E6" w14:textId="77777777" w:rsidR="00615727" w:rsidRPr="005866FD" w:rsidRDefault="00615727" w:rsidP="00615727">
      <w:pPr>
        <w:spacing w:after="200" w:line="276" w:lineRule="auto"/>
        <w:contextualSpacing/>
        <w:rPr>
          <w:rFonts w:ascii="Times New Roman" w:hAnsi="Times New Roman" w:cs="Times New Roman"/>
          <w:sz w:val="24"/>
          <w:szCs w:val="24"/>
        </w:rPr>
      </w:pPr>
      <w:r w:rsidRPr="005866FD">
        <w:rPr>
          <w:rFonts w:ascii="Times New Roman" w:hAnsi="Times New Roman" w:cs="Times New Roman"/>
          <w:sz w:val="24"/>
          <w:szCs w:val="24"/>
        </w:rPr>
        <w:t xml:space="preserve">Anticommons.” </w:t>
      </w:r>
      <w:r w:rsidRPr="005866FD">
        <w:rPr>
          <w:rFonts w:ascii="Times New Roman" w:hAnsi="Times New Roman" w:cs="Times New Roman"/>
          <w:i/>
          <w:sz w:val="24"/>
          <w:szCs w:val="24"/>
        </w:rPr>
        <w:t>Journal of Economic Behavior and Organization,</w:t>
      </w:r>
      <w:r w:rsidRPr="005866FD">
        <w:rPr>
          <w:rFonts w:ascii="Times New Roman" w:hAnsi="Times New Roman" w:cs="Times New Roman"/>
          <w:sz w:val="24"/>
          <w:szCs w:val="24"/>
        </w:rPr>
        <w:t xml:space="preserve"> 84(2), 475-490.</w:t>
      </w:r>
    </w:p>
    <w:p w14:paraId="79249C65" w14:textId="77777777" w:rsidR="00615727" w:rsidRPr="005866FD" w:rsidRDefault="00615727" w:rsidP="006B3F47">
      <w:pPr>
        <w:autoSpaceDE w:val="0"/>
        <w:autoSpaceDN w:val="0"/>
        <w:adjustRightInd w:val="0"/>
        <w:spacing w:after="0" w:line="240" w:lineRule="auto"/>
        <w:rPr>
          <w:rFonts w:ascii="Times New Roman" w:hAnsi="Times New Roman" w:cs="Times New Roman"/>
          <w:b/>
          <w:bCs/>
          <w:sz w:val="24"/>
          <w:szCs w:val="24"/>
        </w:rPr>
      </w:pPr>
    </w:p>
    <w:p w14:paraId="0C90BB6A" w14:textId="77777777" w:rsidR="006B3F47" w:rsidRPr="005866FD" w:rsidRDefault="006B3F47" w:rsidP="006B3F47">
      <w:pPr>
        <w:autoSpaceDE w:val="0"/>
        <w:autoSpaceDN w:val="0"/>
        <w:adjustRightInd w:val="0"/>
        <w:spacing w:after="0" w:line="240" w:lineRule="auto"/>
        <w:rPr>
          <w:rFonts w:ascii="Times New Roman" w:hAnsi="Times New Roman" w:cs="Times New Roman"/>
          <w:sz w:val="24"/>
          <w:szCs w:val="24"/>
        </w:rPr>
      </w:pPr>
      <w:r w:rsidRPr="005866FD">
        <w:rPr>
          <w:rFonts w:ascii="Times New Roman" w:hAnsi="Times New Roman" w:cs="Times New Roman"/>
          <w:b/>
          <w:bCs/>
          <w:sz w:val="24"/>
          <w:szCs w:val="24"/>
        </w:rPr>
        <w:t>Rose, Carol.</w:t>
      </w:r>
      <w:r w:rsidRPr="005866FD">
        <w:rPr>
          <w:rFonts w:ascii="Times New Roman" w:hAnsi="Times New Roman" w:cs="Times New Roman"/>
          <w:sz w:val="24"/>
          <w:szCs w:val="24"/>
        </w:rPr>
        <w:t xml:space="preserve"> 2011. "The Comedy of the Commons: Custom, Commerce, and Inherently Public Property," R. A. Epstein, </w:t>
      </w:r>
      <w:r w:rsidRPr="005866FD">
        <w:rPr>
          <w:rFonts w:ascii="Times New Roman" w:hAnsi="Times New Roman" w:cs="Times New Roman"/>
          <w:i/>
          <w:iCs/>
          <w:sz w:val="24"/>
          <w:szCs w:val="24"/>
        </w:rPr>
        <w:t xml:space="preserve">Private and Common Property: Liberty, Property, and the Law. </w:t>
      </w:r>
      <w:r w:rsidRPr="005866FD">
        <w:rPr>
          <w:rFonts w:ascii="Times New Roman" w:hAnsi="Times New Roman" w:cs="Times New Roman"/>
          <w:sz w:val="24"/>
          <w:szCs w:val="24"/>
        </w:rPr>
        <w:t>New York, NY: Routledge, 285-356.</w:t>
      </w:r>
    </w:p>
    <w:p w14:paraId="27729A91" w14:textId="77777777" w:rsidR="00FA5F96" w:rsidRPr="005866FD" w:rsidRDefault="002B63B4" w:rsidP="006B3F47">
      <w:pPr>
        <w:autoSpaceDE w:val="0"/>
        <w:autoSpaceDN w:val="0"/>
        <w:adjustRightInd w:val="0"/>
        <w:spacing w:after="0" w:line="240" w:lineRule="auto"/>
        <w:rPr>
          <w:rFonts w:ascii="Times New Roman" w:hAnsi="Times New Roman" w:cs="Times New Roman"/>
          <w:sz w:val="24"/>
          <w:szCs w:val="24"/>
        </w:rPr>
      </w:pPr>
      <w:r w:rsidRPr="005866FD">
        <w:rPr>
          <w:rFonts w:ascii="Times New Roman" w:hAnsi="Times New Roman" w:cs="Times New Roman"/>
          <w:sz w:val="24"/>
          <w:szCs w:val="24"/>
        </w:rPr>
        <w:br/>
      </w:r>
      <w:r w:rsidRPr="005866FD">
        <w:rPr>
          <w:rFonts w:ascii="Times New Roman" w:hAnsi="Times New Roman" w:cs="Times New Roman"/>
          <w:b/>
          <w:sz w:val="24"/>
          <w:szCs w:val="24"/>
        </w:rPr>
        <w:t>Shavell, Steven.</w:t>
      </w:r>
      <w:r w:rsidRPr="005866FD">
        <w:rPr>
          <w:rFonts w:ascii="Times New Roman" w:hAnsi="Times New Roman" w:cs="Times New Roman"/>
          <w:sz w:val="24"/>
          <w:szCs w:val="24"/>
        </w:rPr>
        <w:t xml:space="preserve"> 2010. “Eminent Domain versus Government Purchase of Land Given Imperfect Information about Owners’ Valuations.”  </w:t>
      </w:r>
      <w:r w:rsidRPr="005866FD">
        <w:rPr>
          <w:rFonts w:ascii="Times New Roman" w:hAnsi="Times New Roman" w:cs="Times New Roman"/>
          <w:i/>
          <w:sz w:val="24"/>
          <w:szCs w:val="24"/>
        </w:rPr>
        <w:t>Journal of Law and Economics</w:t>
      </w:r>
      <w:r w:rsidRPr="005866FD">
        <w:rPr>
          <w:rFonts w:ascii="Times New Roman" w:hAnsi="Times New Roman" w:cs="Times New Roman"/>
          <w:sz w:val="24"/>
          <w:szCs w:val="24"/>
        </w:rPr>
        <w:t>, 53(1), 1-27.</w:t>
      </w:r>
    </w:p>
    <w:p w14:paraId="72A063F8" w14:textId="77777777" w:rsidR="002B63B4" w:rsidRPr="005866FD" w:rsidRDefault="002B63B4" w:rsidP="006B3F47">
      <w:pPr>
        <w:autoSpaceDE w:val="0"/>
        <w:autoSpaceDN w:val="0"/>
        <w:adjustRightInd w:val="0"/>
        <w:spacing w:after="0" w:line="240" w:lineRule="auto"/>
        <w:rPr>
          <w:rFonts w:ascii="Times New Roman" w:hAnsi="Times New Roman" w:cs="Times New Roman"/>
          <w:sz w:val="24"/>
          <w:szCs w:val="24"/>
        </w:rPr>
      </w:pPr>
    </w:p>
    <w:p w14:paraId="0E28233F" w14:textId="77777777" w:rsidR="00427883" w:rsidRPr="005866FD" w:rsidRDefault="00427883" w:rsidP="00427883">
      <w:pPr>
        <w:spacing w:after="200" w:line="276" w:lineRule="auto"/>
        <w:contextualSpacing/>
        <w:rPr>
          <w:rFonts w:ascii="Times New Roman" w:hAnsi="Times New Roman" w:cs="Times New Roman"/>
          <w:sz w:val="24"/>
          <w:szCs w:val="24"/>
        </w:rPr>
      </w:pPr>
      <w:r w:rsidRPr="005866FD">
        <w:rPr>
          <w:rFonts w:ascii="Times New Roman" w:hAnsi="Times New Roman" w:cs="Times New Roman"/>
          <w:b/>
          <w:sz w:val="24"/>
          <w:szCs w:val="24"/>
        </w:rPr>
        <w:t>Shupp, Robert, John Cadigan, Pamela Schmitt and Kurtis Swope.</w:t>
      </w:r>
      <w:r w:rsidR="002E320F" w:rsidRPr="005866FD">
        <w:rPr>
          <w:rFonts w:ascii="Times New Roman" w:hAnsi="Times New Roman" w:cs="Times New Roman"/>
          <w:sz w:val="24"/>
          <w:szCs w:val="24"/>
        </w:rPr>
        <w:t xml:space="preserve"> 2013</w:t>
      </w:r>
      <w:r w:rsidRPr="005866FD">
        <w:rPr>
          <w:rFonts w:ascii="Times New Roman" w:hAnsi="Times New Roman" w:cs="Times New Roman"/>
          <w:sz w:val="24"/>
          <w:szCs w:val="24"/>
        </w:rPr>
        <w:t xml:space="preserve">.  “Institutions and </w:t>
      </w:r>
    </w:p>
    <w:p w14:paraId="34DCEEFF" w14:textId="77777777" w:rsidR="00427883" w:rsidRPr="005866FD" w:rsidRDefault="00427883" w:rsidP="000B2930">
      <w:pPr>
        <w:spacing w:after="200" w:line="276" w:lineRule="auto"/>
        <w:contextualSpacing/>
        <w:rPr>
          <w:rFonts w:ascii="Times New Roman" w:hAnsi="Times New Roman" w:cs="Times New Roman"/>
          <w:sz w:val="24"/>
          <w:szCs w:val="24"/>
        </w:rPr>
      </w:pPr>
      <w:r w:rsidRPr="005866FD">
        <w:rPr>
          <w:rFonts w:ascii="Times New Roman" w:hAnsi="Times New Roman" w:cs="Times New Roman"/>
          <w:sz w:val="24"/>
          <w:szCs w:val="24"/>
        </w:rPr>
        <w:t xml:space="preserve">Information in Multilateral Bargaining Experiments.” </w:t>
      </w:r>
      <w:r w:rsidR="000B2930" w:rsidRPr="005866FD">
        <w:rPr>
          <w:rFonts w:ascii="Times New Roman" w:hAnsi="Times New Roman" w:cs="Times New Roman"/>
          <w:i/>
          <w:sz w:val="24"/>
          <w:szCs w:val="24"/>
        </w:rPr>
        <w:t>B.E</w:t>
      </w:r>
      <w:r w:rsidRPr="005866FD">
        <w:rPr>
          <w:rFonts w:ascii="Times New Roman" w:hAnsi="Times New Roman" w:cs="Times New Roman"/>
          <w:i/>
          <w:sz w:val="24"/>
          <w:szCs w:val="24"/>
        </w:rPr>
        <w:t>.</w:t>
      </w:r>
      <w:r w:rsidR="000B2930" w:rsidRPr="005866FD">
        <w:rPr>
          <w:rFonts w:ascii="Times New Roman" w:hAnsi="Times New Roman" w:cs="Times New Roman"/>
          <w:i/>
          <w:sz w:val="24"/>
          <w:szCs w:val="24"/>
        </w:rPr>
        <w:t xml:space="preserve"> Journal of Economic Analysis and Policy</w:t>
      </w:r>
      <w:r w:rsidR="000B2930" w:rsidRPr="005866FD">
        <w:rPr>
          <w:rFonts w:ascii="Times New Roman" w:hAnsi="Times New Roman" w:cs="Times New Roman"/>
          <w:sz w:val="24"/>
          <w:szCs w:val="24"/>
        </w:rPr>
        <w:t>, 14(1), 485-524.</w:t>
      </w:r>
    </w:p>
    <w:p w14:paraId="1AC96E94" w14:textId="77777777" w:rsidR="00427883" w:rsidRPr="005866FD" w:rsidRDefault="00427883" w:rsidP="00427883">
      <w:pPr>
        <w:spacing w:after="200" w:line="276" w:lineRule="auto"/>
        <w:contextualSpacing/>
        <w:rPr>
          <w:rFonts w:ascii="Times New Roman" w:hAnsi="Times New Roman" w:cs="Times New Roman"/>
          <w:sz w:val="24"/>
          <w:szCs w:val="24"/>
        </w:rPr>
      </w:pPr>
    </w:p>
    <w:p w14:paraId="3C3BD135" w14:textId="1DF3DBC5" w:rsidR="00180DAC" w:rsidRPr="005402F3" w:rsidRDefault="00180DAC" w:rsidP="002E320F">
      <w:pPr>
        <w:spacing w:after="200" w:line="276" w:lineRule="auto"/>
        <w:contextualSpacing/>
        <w:rPr>
          <w:rFonts w:ascii="Times New Roman" w:hAnsi="Times New Roman" w:cs="Times New Roman"/>
          <w:sz w:val="24"/>
          <w:szCs w:val="24"/>
        </w:rPr>
      </w:pPr>
      <w:r>
        <w:rPr>
          <w:rFonts w:ascii="Times New Roman" w:hAnsi="Times New Roman" w:cs="Times New Roman"/>
          <w:b/>
          <w:sz w:val="24"/>
          <w:szCs w:val="24"/>
        </w:rPr>
        <w:t xml:space="preserve">Simon, Julian M.  </w:t>
      </w:r>
      <w:r>
        <w:rPr>
          <w:rFonts w:ascii="Times New Roman" w:hAnsi="Times New Roman" w:cs="Times New Roman"/>
          <w:i/>
          <w:sz w:val="24"/>
          <w:szCs w:val="24"/>
        </w:rPr>
        <w:t>The Ultimate Resource 2</w:t>
      </w:r>
      <w:r>
        <w:rPr>
          <w:rFonts w:ascii="Times New Roman" w:hAnsi="Times New Roman" w:cs="Times New Roman"/>
          <w:sz w:val="24"/>
          <w:szCs w:val="24"/>
        </w:rPr>
        <w:t>.  Princeton, NJ: Princeton University Press, 1996. Print.</w:t>
      </w:r>
    </w:p>
    <w:p w14:paraId="5DD5C44E" w14:textId="77777777" w:rsidR="00180DAC" w:rsidRDefault="00180DAC" w:rsidP="002E320F">
      <w:pPr>
        <w:spacing w:after="200" w:line="276" w:lineRule="auto"/>
        <w:contextualSpacing/>
        <w:rPr>
          <w:rFonts w:ascii="Times New Roman" w:hAnsi="Times New Roman" w:cs="Times New Roman"/>
          <w:b/>
          <w:sz w:val="24"/>
          <w:szCs w:val="24"/>
        </w:rPr>
      </w:pPr>
    </w:p>
    <w:p w14:paraId="3CA3D13F" w14:textId="77777777" w:rsidR="00427883" w:rsidRPr="005866FD" w:rsidRDefault="00427883" w:rsidP="002E320F">
      <w:pPr>
        <w:spacing w:after="200" w:line="276" w:lineRule="auto"/>
        <w:contextualSpacing/>
        <w:rPr>
          <w:rFonts w:ascii="Times New Roman" w:hAnsi="Times New Roman" w:cs="Times New Roman"/>
          <w:sz w:val="24"/>
          <w:szCs w:val="24"/>
        </w:rPr>
      </w:pPr>
      <w:r w:rsidRPr="005866FD">
        <w:rPr>
          <w:rFonts w:ascii="Times New Roman" w:hAnsi="Times New Roman" w:cs="Times New Roman"/>
          <w:b/>
          <w:sz w:val="24"/>
          <w:szCs w:val="24"/>
        </w:rPr>
        <w:t>Swope, Kurtis, Ryan Wielgus, John Cadigan and Pamela Schmitt</w:t>
      </w:r>
      <w:r w:rsidR="00825D83" w:rsidRPr="005866FD">
        <w:rPr>
          <w:rFonts w:ascii="Times New Roman" w:hAnsi="Times New Roman" w:cs="Times New Roman"/>
          <w:b/>
          <w:sz w:val="24"/>
          <w:szCs w:val="24"/>
        </w:rPr>
        <w:t>.</w:t>
      </w:r>
      <w:r w:rsidRPr="005866FD">
        <w:rPr>
          <w:rFonts w:ascii="Times New Roman" w:hAnsi="Times New Roman" w:cs="Times New Roman"/>
          <w:sz w:val="24"/>
          <w:szCs w:val="24"/>
        </w:rPr>
        <w:t xml:space="preserve"> 2011.  “Contracts, Behavior, and the Land Assembly Problem: An Experimental Study,” in R. Mark Isaac and Douglas Norton (eds) </w:t>
      </w:r>
      <w:r w:rsidRPr="005866FD">
        <w:rPr>
          <w:rFonts w:ascii="Times New Roman" w:hAnsi="Times New Roman" w:cs="Times New Roman"/>
          <w:i/>
          <w:sz w:val="24"/>
          <w:szCs w:val="24"/>
        </w:rPr>
        <w:t>Research in Experimental Economics</w:t>
      </w:r>
      <w:r w:rsidRPr="005866FD">
        <w:rPr>
          <w:rFonts w:ascii="Times New Roman" w:hAnsi="Times New Roman" w:cs="Times New Roman"/>
          <w:sz w:val="24"/>
          <w:szCs w:val="24"/>
        </w:rPr>
        <w:t xml:space="preserve"> 14, 151-180.</w:t>
      </w:r>
    </w:p>
    <w:p w14:paraId="739F418A" w14:textId="77777777" w:rsidR="00F030C5" w:rsidRPr="005866FD" w:rsidRDefault="00F030C5" w:rsidP="006B3F47">
      <w:pPr>
        <w:autoSpaceDE w:val="0"/>
        <w:autoSpaceDN w:val="0"/>
        <w:adjustRightInd w:val="0"/>
        <w:spacing w:after="0" w:line="240" w:lineRule="auto"/>
        <w:rPr>
          <w:rFonts w:ascii="Times New Roman" w:hAnsi="Times New Roman" w:cs="Times New Roman"/>
          <w:b/>
          <w:sz w:val="24"/>
          <w:szCs w:val="24"/>
        </w:rPr>
      </w:pPr>
    </w:p>
    <w:p w14:paraId="3FA23B4D" w14:textId="77777777" w:rsidR="00FA5F96" w:rsidRPr="005866FD" w:rsidRDefault="00FA5F96" w:rsidP="006B3F47">
      <w:pPr>
        <w:autoSpaceDE w:val="0"/>
        <w:autoSpaceDN w:val="0"/>
        <w:adjustRightInd w:val="0"/>
        <w:spacing w:after="0" w:line="240" w:lineRule="auto"/>
        <w:rPr>
          <w:rFonts w:ascii="Times New Roman" w:hAnsi="Times New Roman" w:cs="Times New Roman"/>
          <w:sz w:val="24"/>
          <w:szCs w:val="24"/>
        </w:rPr>
      </w:pPr>
      <w:r w:rsidRPr="005866FD">
        <w:rPr>
          <w:rFonts w:ascii="Times New Roman" w:hAnsi="Times New Roman" w:cs="Times New Roman"/>
          <w:b/>
          <w:sz w:val="24"/>
          <w:szCs w:val="24"/>
        </w:rPr>
        <w:t>Valine, Kevin.</w:t>
      </w:r>
      <w:r w:rsidRPr="005866FD">
        <w:rPr>
          <w:rFonts w:ascii="Times New Roman" w:hAnsi="Times New Roman" w:cs="Times New Roman"/>
          <w:sz w:val="24"/>
          <w:szCs w:val="24"/>
        </w:rPr>
        <w:t xml:space="preserve"> 2013.  “Eminent Domain Case Costs City $300,000.” </w:t>
      </w:r>
      <w:r w:rsidRPr="005866FD">
        <w:rPr>
          <w:rFonts w:ascii="Times New Roman" w:hAnsi="Times New Roman" w:cs="Times New Roman"/>
          <w:i/>
          <w:sz w:val="24"/>
          <w:szCs w:val="24"/>
        </w:rPr>
        <w:t>The Modesto Bee</w:t>
      </w:r>
      <w:r w:rsidRPr="005866FD">
        <w:rPr>
          <w:rFonts w:ascii="Times New Roman" w:hAnsi="Times New Roman" w:cs="Times New Roman"/>
          <w:sz w:val="24"/>
          <w:szCs w:val="24"/>
        </w:rPr>
        <w:t>, p. 2B.</w:t>
      </w:r>
    </w:p>
    <w:p w14:paraId="4DC9CFAA" w14:textId="77777777" w:rsidR="00CF1C07" w:rsidRPr="005866FD" w:rsidRDefault="00CF1C07" w:rsidP="00CF1C07">
      <w:pPr>
        <w:spacing w:after="200" w:line="276" w:lineRule="auto"/>
        <w:contextualSpacing/>
        <w:rPr>
          <w:rFonts w:ascii="Times New Roman" w:hAnsi="Times New Roman" w:cs="Times New Roman"/>
          <w:b/>
          <w:sz w:val="24"/>
          <w:szCs w:val="24"/>
        </w:rPr>
      </w:pPr>
    </w:p>
    <w:p w14:paraId="2F42C9D8" w14:textId="3573E5A8" w:rsidR="00180DAC" w:rsidRPr="005402F3" w:rsidRDefault="00180DAC" w:rsidP="00CF1C07">
      <w:pPr>
        <w:spacing w:after="200" w:line="276" w:lineRule="auto"/>
        <w:contextualSpacing/>
        <w:rPr>
          <w:rFonts w:ascii="Times New Roman" w:hAnsi="Times New Roman" w:cs="Times New Roman"/>
          <w:sz w:val="24"/>
          <w:szCs w:val="24"/>
        </w:rPr>
      </w:pPr>
      <w:r>
        <w:rPr>
          <w:rFonts w:ascii="Times New Roman" w:hAnsi="Times New Roman" w:cs="Times New Roman"/>
          <w:b/>
          <w:sz w:val="24"/>
          <w:szCs w:val="24"/>
        </w:rPr>
        <w:t>Van Lange, Paul A. M., Jeff Joireman, Craig D. Parks and Eric Van Dijk.</w:t>
      </w:r>
      <w:r>
        <w:rPr>
          <w:rFonts w:ascii="Times New Roman" w:hAnsi="Times New Roman" w:cs="Times New Roman"/>
          <w:sz w:val="24"/>
          <w:szCs w:val="24"/>
        </w:rPr>
        <w:t xml:space="preserve"> 2013. “The Psychology of Social Dilemmas: A Review.” </w:t>
      </w:r>
      <w:r>
        <w:rPr>
          <w:rFonts w:ascii="Times New Roman" w:hAnsi="Times New Roman" w:cs="Times New Roman"/>
          <w:i/>
          <w:sz w:val="24"/>
          <w:szCs w:val="24"/>
        </w:rPr>
        <w:t>Organizational Behavior &amp; Human Decision Processes</w:t>
      </w:r>
      <w:r>
        <w:rPr>
          <w:rFonts w:ascii="Times New Roman" w:hAnsi="Times New Roman" w:cs="Times New Roman"/>
          <w:sz w:val="24"/>
          <w:szCs w:val="24"/>
        </w:rPr>
        <w:t>, 120(2), 125-41.</w:t>
      </w:r>
    </w:p>
    <w:p w14:paraId="30462811" w14:textId="77777777" w:rsidR="00180DAC" w:rsidRDefault="00180DAC" w:rsidP="00CF1C07">
      <w:pPr>
        <w:spacing w:after="200" w:line="276" w:lineRule="auto"/>
        <w:contextualSpacing/>
        <w:rPr>
          <w:rFonts w:ascii="Times New Roman" w:hAnsi="Times New Roman" w:cs="Times New Roman"/>
          <w:b/>
          <w:sz w:val="24"/>
          <w:szCs w:val="24"/>
        </w:rPr>
      </w:pPr>
    </w:p>
    <w:p w14:paraId="52308CAA" w14:textId="77777777" w:rsidR="00CF1C07" w:rsidRPr="005866FD" w:rsidRDefault="00CF1C07" w:rsidP="00CF1C07">
      <w:pPr>
        <w:spacing w:after="200" w:line="276" w:lineRule="auto"/>
        <w:contextualSpacing/>
        <w:rPr>
          <w:rFonts w:ascii="Times New Roman" w:hAnsi="Times New Roman" w:cs="Times New Roman"/>
          <w:sz w:val="24"/>
          <w:szCs w:val="24"/>
        </w:rPr>
      </w:pPr>
      <w:r w:rsidRPr="005866FD">
        <w:rPr>
          <w:rFonts w:ascii="Times New Roman" w:hAnsi="Times New Roman" w:cs="Times New Roman"/>
          <w:b/>
          <w:sz w:val="24"/>
          <w:szCs w:val="24"/>
        </w:rPr>
        <w:t>Zillante, Arthur, Dustin C. Read and Peter M. Schwarz.</w:t>
      </w:r>
      <w:r w:rsidRPr="005866FD">
        <w:rPr>
          <w:rFonts w:ascii="Times New Roman" w:hAnsi="Times New Roman" w:cs="Times New Roman"/>
          <w:sz w:val="24"/>
          <w:szCs w:val="24"/>
        </w:rPr>
        <w:t xml:space="preserve"> 2014. “Land Aggregation Using Contingent and Guaranteed Payments.” </w:t>
      </w:r>
      <w:r w:rsidRPr="005866FD">
        <w:rPr>
          <w:rFonts w:ascii="Times New Roman" w:hAnsi="Times New Roman" w:cs="Times New Roman"/>
          <w:i/>
          <w:sz w:val="24"/>
          <w:szCs w:val="24"/>
        </w:rPr>
        <w:t>Southern Economic Journal</w:t>
      </w:r>
      <w:r w:rsidRPr="005866FD">
        <w:rPr>
          <w:rFonts w:ascii="Times New Roman" w:hAnsi="Times New Roman" w:cs="Times New Roman"/>
          <w:sz w:val="24"/>
          <w:szCs w:val="24"/>
        </w:rPr>
        <w:t>, 80(3), 702-727.</w:t>
      </w:r>
    </w:p>
    <w:p w14:paraId="2B9142C8" w14:textId="77777777" w:rsidR="008D574E" w:rsidRPr="005866FD" w:rsidRDefault="006B3F47" w:rsidP="006B3F47">
      <w:pP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 xml:space="preserve"> </w:t>
      </w:r>
      <w:r w:rsidR="008D574E" w:rsidRPr="005866FD">
        <w:rPr>
          <w:rFonts w:ascii="Times New Roman" w:eastAsiaTheme="minorEastAsia" w:hAnsi="Times New Roman" w:cs="Times New Roman"/>
          <w:sz w:val="24"/>
          <w:szCs w:val="24"/>
        </w:rPr>
        <w:br w:type="page"/>
      </w:r>
    </w:p>
    <w:p w14:paraId="7EBBB125" w14:textId="77777777" w:rsidR="006B3F47" w:rsidRPr="005866FD" w:rsidRDefault="006B3F47" w:rsidP="008D574E">
      <w:pPr>
        <w:rPr>
          <w:rFonts w:ascii="Times New Roman" w:eastAsiaTheme="minorEastAsia" w:hAnsi="Times New Roman" w:cs="Times New Roman"/>
          <w:sz w:val="24"/>
          <w:szCs w:val="24"/>
        </w:rPr>
      </w:pPr>
    </w:p>
    <w:p w14:paraId="0187C504" w14:textId="77777777" w:rsidR="00D5773A" w:rsidRPr="005866FD" w:rsidRDefault="00D5773A" w:rsidP="00D5773A">
      <w:pPr>
        <w:spacing w:line="480" w:lineRule="auto"/>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Table 1. Sessions and observations by treatment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1742"/>
        <w:gridCol w:w="2448"/>
        <w:gridCol w:w="2059"/>
      </w:tblGrid>
      <w:tr w:rsidR="00D5773A" w:rsidRPr="005866FD" w14:paraId="066C58EA" w14:textId="77777777" w:rsidTr="0003454C">
        <w:tc>
          <w:tcPr>
            <w:tcW w:w="3111" w:type="dxa"/>
            <w:tcBorders>
              <w:top w:val="thinThickSmallGap" w:sz="12" w:space="0" w:color="auto"/>
              <w:bottom w:val="single" w:sz="4" w:space="0" w:color="auto"/>
            </w:tcBorders>
          </w:tcPr>
          <w:p w14:paraId="509DE592" w14:textId="77777777" w:rsidR="00D5773A" w:rsidRPr="005866FD" w:rsidRDefault="00D5773A" w:rsidP="00997042">
            <w:pP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Treatment</w:t>
            </w:r>
          </w:p>
        </w:tc>
        <w:tc>
          <w:tcPr>
            <w:tcW w:w="1742" w:type="dxa"/>
            <w:tcBorders>
              <w:top w:val="thinThickSmallGap" w:sz="12" w:space="0" w:color="auto"/>
              <w:bottom w:val="single" w:sz="4" w:space="0" w:color="auto"/>
            </w:tcBorders>
          </w:tcPr>
          <w:p w14:paraId="547CF7F1" w14:textId="77777777" w:rsidR="00D5773A" w:rsidRPr="005866FD" w:rsidRDefault="00D5773A"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Sessions</w:t>
            </w:r>
          </w:p>
        </w:tc>
        <w:tc>
          <w:tcPr>
            <w:tcW w:w="2448" w:type="dxa"/>
            <w:tcBorders>
              <w:top w:val="thinThickSmallGap" w:sz="12" w:space="0" w:color="auto"/>
              <w:bottom w:val="single" w:sz="4" w:space="0" w:color="auto"/>
            </w:tcBorders>
          </w:tcPr>
          <w:p w14:paraId="5940BF0D" w14:textId="77777777" w:rsidR="00D5773A" w:rsidRPr="005866FD" w:rsidRDefault="00D5773A"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Groups per Session</w:t>
            </w:r>
          </w:p>
        </w:tc>
        <w:tc>
          <w:tcPr>
            <w:tcW w:w="2059" w:type="dxa"/>
            <w:tcBorders>
              <w:top w:val="thinThickSmallGap" w:sz="12" w:space="0" w:color="auto"/>
              <w:bottom w:val="single" w:sz="4" w:space="0" w:color="auto"/>
            </w:tcBorders>
          </w:tcPr>
          <w:p w14:paraId="23EE4225" w14:textId="77777777" w:rsidR="00D5773A" w:rsidRPr="005866FD" w:rsidRDefault="00D5773A"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Negotiations</w:t>
            </w:r>
          </w:p>
        </w:tc>
      </w:tr>
      <w:tr w:rsidR="00D5773A" w:rsidRPr="005866FD" w14:paraId="66A4D3C3" w14:textId="77777777" w:rsidTr="0003454C">
        <w:tc>
          <w:tcPr>
            <w:tcW w:w="3111" w:type="dxa"/>
            <w:tcBorders>
              <w:top w:val="single" w:sz="4" w:space="0" w:color="auto"/>
            </w:tcBorders>
          </w:tcPr>
          <w:p w14:paraId="059BC9D3" w14:textId="77777777" w:rsidR="00D5773A" w:rsidRPr="005866FD" w:rsidRDefault="00D5773A" w:rsidP="00997042">
            <w:pP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Baseline</w:t>
            </w:r>
          </w:p>
        </w:tc>
        <w:tc>
          <w:tcPr>
            <w:tcW w:w="1742" w:type="dxa"/>
            <w:tcBorders>
              <w:top w:val="single" w:sz="4" w:space="0" w:color="auto"/>
            </w:tcBorders>
          </w:tcPr>
          <w:p w14:paraId="449A5BB3" w14:textId="77777777" w:rsidR="00D5773A" w:rsidRPr="005866FD" w:rsidRDefault="00D5773A"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5</w:t>
            </w:r>
          </w:p>
        </w:tc>
        <w:tc>
          <w:tcPr>
            <w:tcW w:w="2448" w:type="dxa"/>
            <w:tcBorders>
              <w:top w:val="single" w:sz="4" w:space="0" w:color="auto"/>
            </w:tcBorders>
          </w:tcPr>
          <w:p w14:paraId="70BCB6C5" w14:textId="77777777" w:rsidR="00D5773A" w:rsidRPr="005866FD" w:rsidRDefault="00D5773A"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3</w:t>
            </w:r>
          </w:p>
        </w:tc>
        <w:tc>
          <w:tcPr>
            <w:tcW w:w="2059" w:type="dxa"/>
            <w:tcBorders>
              <w:top w:val="single" w:sz="4" w:space="0" w:color="auto"/>
            </w:tcBorders>
          </w:tcPr>
          <w:p w14:paraId="12BC8E1E" w14:textId="77777777" w:rsidR="00D5773A" w:rsidRPr="005866FD" w:rsidRDefault="00D5773A"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45</w:t>
            </w:r>
          </w:p>
        </w:tc>
      </w:tr>
      <w:tr w:rsidR="00D5773A" w:rsidRPr="005866FD" w14:paraId="7507AFA8" w14:textId="77777777" w:rsidTr="0003454C">
        <w:tc>
          <w:tcPr>
            <w:tcW w:w="3111" w:type="dxa"/>
          </w:tcPr>
          <w:p w14:paraId="5C5CC8E3" w14:textId="77777777" w:rsidR="00D5773A" w:rsidRPr="005866FD" w:rsidRDefault="00D5773A" w:rsidP="00997042">
            <w:pP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Competition</w:t>
            </w:r>
          </w:p>
        </w:tc>
        <w:tc>
          <w:tcPr>
            <w:tcW w:w="1742" w:type="dxa"/>
          </w:tcPr>
          <w:p w14:paraId="6E939FA1" w14:textId="77777777" w:rsidR="00D5773A" w:rsidRPr="005866FD" w:rsidRDefault="00D5773A"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3</w:t>
            </w:r>
          </w:p>
        </w:tc>
        <w:tc>
          <w:tcPr>
            <w:tcW w:w="2448" w:type="dxa"/>
          </w:tcPr>
          <w:p w14:paraId="305FC44C" w14:textId="77777777" w:rsidR="00D5773A" w:rsidRPr="005866FD" w:rsidRDefault="00D5773A"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5</w:t>
            </w:r>
          </w:p>
        </w:tc>
        <w:tc>
          <w:tcPr>
            <w:tcW w:w="2059" w:type="dxa"/>
          </w:tcPr>
          <w:p w14:paraId="64FA6529" w14:textId="77777777" w:rsidR="00D5773A" w:rsidRPr="005866FD" w:rsidRDefault="00D5773A"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45</w:t>
            </w:r>
          </w:p>
        </w:tc>
      </w:tr>
      <w:tr w:rsidR="00D5773A" w:rsidRPr="005866FD" w14:paraId="4335C359" w14:textId="77777777" w:rsidTr="0003454C">
        <w:tc>
          <w:tcPr>
            <w:tcW w:w="3111" w:type="dxa"/>
          </w:tcPr>
          <w:p w14:paraId="42EAB119" w14:textId="77777777" w:rsidR="00D5773A" w:rsidRPr="005866FD" w:rsidRDefault="00D5773A" w:rsidP="00997042">
            <w:pP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Eminent Domain</w:t>
            </w:r>
          </w:p>
        </w:tc>
        <w:tc>
          <w:tcPr>
            <w:tcW w:w="1742" w:type="dxa"/>
          </w:tcPr>
          <w:p w14:paraId="4098E9AB" w14:textId="77777777" w:rsidR="00D5773A" w:rsidRPr="005866FD" w:rsidRDefault="00D5773A"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5</w:t>
            </w:r>
          </w:p>
        </w:tc>
        <w:tc>
          <w:tcPr>
            <w:tcW w:w="2448" w:type="dxa"/>
          </w:tcPr>
          <w:p w14:paraId="454919F1" w14:textId="77777777" w:rsidR="00D5773A" w:rsidRPr="005866FD" w:rsidRDefault="00D5773A"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3</w:t>
            </w:r>
          </w:p>
        </w:tc>
        <w:tc>
          <w:tcPr>
            <w:tcW w:w="2059" w:type="dxa"/>
          </w:tcPr>
          <w:p w14:paraId="2074FDB5" w14:textId="77777777" w:rsidR="00D5773A" w:rsidRPr="005866FD" w:rsidRDefault="00D5773A"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45</w:t>
            </w:r>
          </w:p>
        </w:tc>
      </w:tr>
      <w:tr w:rsidR="00D5773A" w:rsidRPr="005866FD" w14:paraId="571B2BF3" w14:textId="77777777" w:rsidTr="0003454C">
        <w:tc>
          <w:tcPr>
            <w:tcW w:w="3111" w:type="dxa"/>
            <w:tcBorders>
              <w:bottom w:val="thickThinSmallGap" w:sz="12" w:space="0" w:color="auto"/>
            </w:tcBorders>
          </w:tcPr>
          <w:p w14:paraId="009408D3" w14:textId="77777777" w:rsidR="00D5773A" w:rsidRPr="005866FD" w:rsidRDefault="00D5773A" w:rsidP="00997042">
            <w:pP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Total</w:t>
            </w:r>
          </w:p>
        </w:tc>
        <w:tc>
          <w:tcPr>
            <w:tcW w:w="1742" w:type="dxa"/>
            <w:tcBorders>
              <w:bottom w:val="thickThinSmallGap" w:sz="12" w:space="0" w:color="auto"/>
            </w:tcBorders>
          </w:tcPr>
          <w:p w14:paraId="4A2331D0" w14:textId="77777777" w:rsidR="00D5773A" w:rsidRPr="005866FD" w:rsidRDefault="00D5773A"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1</w:t>
            </w:r>
            <w:r w:rsidR="0003454C">
              <w:rPr>
                <w:rFonts w:ascii="Times New Roman" w:eastAsiaTheme="minorEastAsia" w:hAnsi="Times New Roman" w:cs="Times New Roman"/>
                <w:sz w:val="24"/>
                <w:szCs w:val="24"/>
              </w:rPr>
              <w:t>3</w:t>
            </w:r>
          </w:p>
        </w:tc>
        <w:tc>
          <w:tcPr>
            <w:tcW w:w="2448" w:type="dxa"/>
            <w:tcBorders>
              <w:bottom w:val="thickThinSmallGap" w:sz="12" w:space="0" w:color="auto"/>
            </w:tcBorders>
          </w:tcPr>
          <w:p w14:paraId="433AC404" w14:textId="0C44A439" w:rsidR="00D5773A" w:rsidRPr="005866FD" w:rsidRDefault="00B70736" w:rsidP="00997042">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2059" w:type="dxa"/>
            <w:tcBorders>
              <w:bottom w:val="thickThinSmallGap" w:sz="12" w:space="0" w:color="auto"/>
            </w:tcBorders>
          </w:tcPr>
          <w:p w14:paraId="407EAF62" w14:textId="77777777" w:rsidR="00D5773A" w:rsidRPr="005866FD" w:rsidRDefault="0003454C" w:rsidP="0003454C">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35</w:t>
            </w:r>
          </w:p>
        </w:tc>
      </w:tr>
    </w:tbl>
    <w:p w14:paraId="4871F1F4" w14:textId="77777777" w:rsidR="00D5773A" w:rsidRPr="005866FD" w:rsidRDefault="00D5773A" w:rsidP="00D5773A">
      <w:pPr>
        <w:spacing w:line="480" w:lineRule="auto"/>
        <w:rPr>
          <w:rFonts w:ascii="Times New Roman" w:eastAsiaTheme="minorEastAsia" w:hAnsi="Times New Roman" w:cs="Times New Roman"/>
          <w:sz w:val="24"/>
          <w:szCs w:val="24"/>
        </w:rPr>
      </w:pPr>
    </w:p>
    <w:p w14:paraId="565BEDF6" w14:textId="77777777" w:rsidR="00D5773A" w:rsidRPr="005866FD" w:rsidRDefault="00D5773A" w:rsidP="00D5773A">
      <w:pPr>
        <w:spacing w:line="480" w:lineRule="auto"/>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Table 2. Experimental parameters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6"/>
        <w:gridCol w:w="3284"/>
      </w:tblGrid>
      <w:tr w:rsidR="00D5773A" w:rsidRPr="005866FD" w14:paraId="7AD65F3F" w14:textId="77777777" w:rsidTr="00A53F7A">
        <w:tc>
          <w:tcPr>
            <w:tcW w:w="6076" w:type="dxa"/>
            <w:tcBorders>
              <w:top w:val="thinThickSmallGap" w:sz="12" w:space="0" w:color="000000"/>
              <w:bottom w:val="single" w:sz="4" w:space="0" w:color="000000"/>
            </w:tcBorders>
          </w:tcPr>
          <w:p w14:paraId="1FC4EBC8" w14:textId="77777777" w:rsidR="00D5773A" w:rsidRPr="005866FD" w:rsidRDefault="00D5773A" w:rsidP="00997042">
            <w:pP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Parameter</w:t>
            </w:r>
          </w:p>
        </w:tc>
        <w:tc>
          <w:tcPr>
            <w:tcW w:w="3284" w:type="dxa"/>
            <w:tcBorders>
              <w:top w:val="thinThickSmallGap" w:sz="12" w:space="0" w:color="000000"/>
              <w:bottom w:val="single" w:sz="4" w:space="0" w:color="000000"/>
            </w:tcBorders>
          </w:tcPr>
          <w:p w14:paraId="60962355" w14:textId="77777777" w:rsidR="00D5773A" w:rsidRPr="005866FD" w:rsidRDefault="00D5773A"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Value</w:t>
            </w:r>
          </w:p>
        </w:tc>
      </w:tr>
      <w:tr w:rsidR="00D5773A" w:rsidRPr="005866FD" w14:paraId="5B7DCFA4" w14:textId="77777777" w:rsidTr="00A53F7A">
        <w:tc>
          <w:tcPr>
            <w:tcW w:w="6076" w:type="dxa"/>
            <w:tcBorders>
              <w:top w:val="single" w:sz="4" w:space="0" w:color="000000"/>
            </w:tcBorders>
          </w:tcPr>
          <w:p w14:paraId="0D10FF42" w14:textId="77777777" w:rsidR="00D5773A" w:rsidRPr="005866FD" w:rsidRDefault="00D5773A" w:rsidP="00997042">
            <w:pP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Buyer exchange rate</w:t>
            </w:r>
          </w:p>
        </w:tc>
        <w:tc>
          <w:tcPr>
            <w:tcW w:w="3284" w:type="dxa"/>
            <w:tcBorders>
              <w:top w:val="single" w:sz="4" w:space="0" w:color="000000"/>
            </w:tcBorders>
          </w:tcPr>
          <w:p w14:paraId="601D34C2" w14:textId="77777777" w:rsidR="00D5773A" w:rsidRPr="005866FD" w:rsidRDefault="00D5773A" w:rsidP="00997042">
            <w:pPr>
              <w:jc w:val="center"/>
              <w:rPr>
                <w:rFonts w:ascii="Times New Roman" w:eastAsia="Times New Roman" w:hAnsi="Times New Roman" w:cs="Times New Roman"/>
                <w:sz w:val="24"/>
                <w:szCs w:val="24"/>
              </w:rPr>
            </w:pPr>
            <w:r w:rsidRPr="005866FD">
              <w:rPr>
                <w:rFonts w:ascii="Times New Roman" w:eastAsia="Times New Roman" w:hAnsi="Times New Roman" w:cs="Times New Roman"/>
                <w:sz w:val="24"/>
                <w:szCs w:val="24"/>
              </w:rPr>
              <w:t>$1.00 = 2 points</w:t>
            </w:r>
          </w:p>
        </w:tc>
      </w:tr>
      <w:tr w:rsidR="00D5773A" w:rsidRPr="005866FD" w14:paraId="4B75C35B" w14:textId="77777777" w:rsidTr="00A53F7A">
        <w:tc>
          <w:tcPr>
            <w:tcW w:w="6076" w:type="dxa"/>
          </w:tcPr>
          <w:p w14:paraId="0493A644" w14:textId="77777777" w:rsidR="00D5773A" w:rsidRPr="005866FD" w:rsidRDefault="00D5773A" w:rsidP="00997042">
            <w:pP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Primary seller exchange rate</w:t>
            </w:r>
          </w:p>
        </w:tc>
        <w:tc>
          <w:tcPr>
            <w:tcW w:w="3284" w:type="dxa"/>
          </w:tcPr>
          <w:p w14:paraId="2F5E3075" w14:textId="77777777" w:rsidR="00D5773A" w:rsidRPr="005866FD" w:rsidRDefault="00D5773A" w:rsidP="00997042">
            <w:pPr>
              <w:jc w:val="center"/>
              <w:rPr>
                <w:rFonts w:ascii="Times New Roman" w:eastAsia="Times New Roman" w:hAnsi="Times New Roman" w:cs="Times New Roman"/>
                <w:sz w:val="24"/>
                <w:szCs w:val="24"/>
              </w:rPr>
            </w:pPr>
            <w:r w:rsidRPr="005866FD">
              <w:rPr>
                <w:rFonts w:ascii="Times New Roman" w:eastAsia="Times New Roman" w:hAnsi="Times New Roman" w:cs="Times New Roman"/>
                <w:sz w:val="24"/>
                <w:szCs w:val="24"/>
              </w:rPr>
              <w:t>$1.00 = 4 points</w:t>
            </w:r>
          </w:p>
        </w:tc>
      </w:tr>
      <w:tr w:rsidR="00D5773A" w:rsidRPr="005866FD" w14:paraId="46B86ED7" w14:textId="77777777" w:rsidTr="00A53F7A">
        <w:tc>
          <w:tcPr>
            <w:tcW w:w="6076" w:type="dxa"/>
          </w:tcPr>
          <w:p w14:paraId="7FD46581" w14:textId="77777777" w:rsidR="00D5773A" w:rsidRPr="005866FD" w:rsidRDefault="00D5773A" w:rsidP="00997042">
            <w:pP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Alternative seller exchange rate</w:t>
            </w:r>
          </w:p>
        </w:tc>
        <w:tc>
          <w:tcPr>
            <w:tcW w:w="3284" w:type="dxa"/>
          </w:tcPr>
          <w:p w14:paraId="1246F1D7" w14:textId="77777777" w:rsidR="00D5773A" w:rsidRPr="005866FD" w:rsidRDefault="00D5773A" w:rsidP="00997042">
            <w:pPr>
              <w:jc w:val="center"/>
              <w:rPr>
                <w:rFonts w:ascii="Times New Roman" w:eastAsia="Times New Roman" w:hAnsi="Times New Roman" w:cs="Times New Roman"/>
                <w:sz w:val="24"/>
                <w:szCs w:val="24"/>
              </w:rPr>
            </w:pPr>
            <w:r w:rsidRPr="005866FD">
              <w:rPr>
                <w:rFonts w:ascii="Times New Roman" w:eastAsia="Times New Roman" w:hAnsi="Times New Roman" w:cs="Times New Roman"/>
                <w:sz w:val="24"/>
                <w:szCs w:val="24"/>
              </w:rPr>
              <w:t>$1.00 = 7 points</w:t>
            </w:r>
          </w:p>
        </w:tc>
      </w:tr>
      <w:tr w:rsidR="00D5773A" w:rsidRPr="005866FD" w14:paraId="080A4428" w14:textId="77777777" w:rsidTr="00A53F7A">
        <w:tc>
          <w:tcPr>
            <w:tcW w:w="6076" w:type="dxa"/>
          </w:tcPr>
          <w:p w14:paraId="2C810E9D" w14:textId="77777777" w:rsidR="00D5773A" w:rsidRPr="005866FD" w:rsidRDefault="00D5773A" w:rsidP="00997042">
            <w:pP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 xml:space="preserve">Distribution of </w:t>
            </w:r>
            <w:r w:rsidR="00B125E1">
              <w:rPr>
                <w:rFonts w:ascii="Times New Roman" w:eastAsiaTheme="minorEastAsia" w:hAnsi="Times New Roman" w:cs="Times New Roman"/>
                <w:sz w:val="24"/>
                <w:szCs w:val="24"/>
              </w:rPr>
              <w:t xml:space="preserve">primary </w:t>
            </w:r>
            <w:r w:rsidRPr="005866FD">
              <w:rPr>
                <w:rFonts w:ascii="Times New Roman" w:eastAsiaTheme="minorEastAsia" w:hAnsi="Times New Roman" w:cs="Times New Roman"/>
                <w:sz w:val="24"/>
                <w:szCs w:val="24"/>
              </w:rPr>
              <w:t>sellers’ values, [</w:t>
            </w:r>
            <w:r w:rsidRPr="005866FD">
              <w:rPr>
                <w:rFonts w:ascii="Times New Roman" w:eastAsiaTheme="minorEastAsia" w:hAnsi="Times New Roman" w:cs="Times New Roman"/>
                <w:i/>
                <w:sz w:val="24"/>
                <w:szCs w:val="24"/>
              </w:rPr>
              <w:t>a</w:t>
            </w:r>
            <w:r w:rsidRPr="005866FD">
              <w:rPr>
                <w:rFonts w:ascii="Times New Roman" w:eastAsiaTheme="minorEastAsia" w:hAnsi="Times New Roman" w:cs="Times New Roman"/>
                <w:sz w:val="24"/>
                <w:szCs w:val="24"/>
              </w:rPr>
              <w:t>,</w:t>
            </w:r>
            <w:r w:rsidRPr="005866FD">
              <w:rPr>
                <w:rFonts w:ascii="Times New Roman" w:eastAsiaTheme="minorEastAsia" w:hAnsi="Times New Roman" w:cs="Times New Roman"/>
                <w:i/>
                <w:sz w:val="24"/>
                <w:szCs w:val="24"/>
              </w:rPr>
              <w:t>b</w:t>
            </w:r>
            <w:r w:rsidRPr="005866FD">
              <w:rPr>
                <w:rFonts w:ascii="Times New Roman" w:eastAsiaTheme="minorEastAsia" w:hAnsi="Times New Roman" w:cs="Times New Roman"/>
                <w:sz w:val="24"/>
                <w:szCs w:val="24"/>
              </w:rPr>
              <w:t>]</w:t>
            </w:r>
          </w:p>
        </w:tc>
        <w:tc>
          <w:tcPr>
            <w:tcW w:w="3284" w:type="dxa"/>
          </w:tcPr>
          <w:p w14:paraId="6E1A7513" w14:textId="77777777" w:rsidR="00D5773A" w:rsidRPr="005866FD" w:rsidRDefault="00D5773A"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[50,100]</w:t>
            </w:r>
          </w:p>
        </w:tc>
      </w:tr>
      <w:tr w:rsidR="00D5773A" w:rsidRPr="005866FD" w14:paraId="333C1E80" w14:textId="77777777" w:rsidTr="00A53F7A">
        <w:tc>
          <w:tcPr>
            <w:tcW w:w="6076" w:type="dxa"/>
          </w:tcPr>
          <w:p w14:paraId="0CE55587" w14:textId="77777777" w:rsidR="00D5773A" w:rsidRPr="005866FD" w:rsidRDefault="00D5773A" w:rsidP="00997042">
            <w:pP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Distribution of buyer’s value, [</w:t>
            </w:r>
            <w:r w:rsidRPr="005866FD">
              <w:rPr>
                <w:rFonts w:ascii="Times New Roman" w:eastAsiaTheme="minorEastAsia" w:hAnsi="Times New Roman" w:cs="Times New Roman"/>
                <w:i/>
                <w:sz w:val="24"/>
                <w:szCs w:val="24"/>
              </w:rPr>
              <w:t>A</w:t>
            </w:r>
            <w:r w:rsidRPr="005866FD">
              <w:rPr>
                <w:rFonts w:ascii="Times New Roman" w:eastAsiaTheme="minorEastAsia" w:hAnsi="Times New Roman" w:cs="Times New Roman"/>
                <w:sz w:val="24"/>
                <w:szCs w:val="24"/>
              </w:rPr>
              <w:t>,</w:t>
            </w:r>
            <w:r w:rsidRPr="005866FD">
              <w:rPr>
                <w:rFonts w:ascii="Times New Roman" w:eastAsiaTheme="minorEastAsia" w:hAnsi="Times New Roman" w:cs="Times New Roman"/>
                <w:i/>
                <w:sz w:val="24"/>
                <w:szCs w:val="24"/>
              </w:rPr>
              <w:t>B</w:t>
            </w:r>
            <w:r w:rsidRPr="005866FD">
              <w:rPr>
                <w:rFonts w:ascii="Times New Roman" w:eastAsiaTheme="minorEastAsia" w:hAnsi="Times New Roman" w:cs="Times New Roman"/>
                <w:sz w:val="24"/>
                <w:szCs w:val="24"/>
              </w:rPr>
              <w:t>]</w:t>
            </w:r>
          </w:p>
        </w:tc>
        <w:tc>
          <w:tcPr>
            <w:tcW w:w="3284" w:type="dxa"/>
          </w:tcPr>
          <w:p w14:paraId="550EC8D9" w14:textId="77777777" w:rsidR="00D5773A" w:rsidRPr="005866FD" w:rsidRDefault="00D5773A"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[100,250]</w:t>
            </w:r>
          </w:p>
        </w:tc>
      </w:tr>
      <w:tr w:rsidR="00D5773A" w:rsidRPr="005866FD" w14:paraId="641F5D70" w14:textId="77777777" w:rsidTr="00A53F7A">
        <w:tc>
          <w:tcPr>
            <w:tcW w:w="6076" w:type="dxa"/>
          </w:tcPr>
          <w:p w14:paraId="246ADD08" w14:textId="77777777" w:rsidR="00D5773A" w:rsidRPr="005866FD" w:rsidRDefault="00D5773A" w:rsidP="00997042">
            <w:pP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 xml:space="preserve">Value multiplier, </w:t>
            </w:r>
            <m:oMath>
              <m:r>
                <w:rPr>
                  <w:rFonts w:ascii="Cambria Math" w:eastAsiaTheme="minorEastAsia" w:hAnsi="Cambria Math" w:cs="Times New Roman"/>
                  <w:sz w:val="24"/>
                  <w:szCs w:val="24"/>
                </w:rPr>
                <m:t>θ</m:t>
              </m:r>
            </m:oMath>
          </w:p>
        </w:tc>
        <w:tc>
          <w:tcPr>
            <w:tcW w:w="3284" w:type="dxa"/>
          </w:tcPr>
          <w:p w14:paraId="32AE4F27" w14:textId="77777777" w:rsidR="00D5773A" w:rsidRPr="005866FD" w:rsidRDefault="00D5773A"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0.8</w:t>
            </w:r>
          </w:p>
        </w:tc>
      </w:tr>
      <w:tr w:rsidR="00D5773A" w:rsidRPr="005866FD" w14:paraId="5D3E2029" w14:textId="77777777" w:rsidTr="00A53F7A">
        <w:tc>
          <w:tcPr>
            <w:tcW w:w="6076" w:type="dxa"/>
          </w:tcPr>
          <w:p w14:paraId="22507C76" w14:textId="77777777" w:rsidR="00D5773A" w:rsidRPr="005866FD" w:rsidRDefault="00D5773A" w:rsidP="00997042">
            <w:pP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 xml:space="preserve">Distribution of alternative seller’s value,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2θa,2θb</m:t>
                  </m:r>
                </m:e>
              </m:d>
            </m:oMath>
          </w:p>
        </w:tc>
        <w:tc>
          <w:tcPr>
            <w:tcW w:w="3284" w:type="dxa"/>
          </w:tcPr>
          <w:p w14:paraId="04C38E7E" w14:textId="77777777" w:rsidR="00D5773A" w:rsidRPr="005866FD" w:rsidRDefault="00D5773A"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[80,160]</w:t>
            </w:r>
          </w:p>
        </w:tc>
      </w:tr>
      <w:tr w:rsidR="00D5773A" w:rsidRPr="005866FD" w14:paraId="77CFB5D6" w14:textId="77777777" w:rsidTr="00A53F7A">
        <w:tc>
          <w:tcPr>
            <w:tcW w:w="6076" w:type="dxa"/>
          </w:tcPr>
          <w:p w14:paraId="33649B10" w14:textId="77777777" w:rsidR="00D5773A" w:rsidRPr="005866FD" w:rsidRDefault="00D5773A" w:rsidP="00997042">
            <w:pP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 xml:space="preserve">Negotiating periods, </w:t>
            </w:r>
            <w:r w:rsidRPr="005866FD">
              <w:rPr>
                <w:rFonts w:ascii="Times New Roman" w:eastAsiaTheme="minorEastAsia" w:hAnsi="Times New Roman" w:cs="Times New Roman"/>
                <w:i/>
                <w:sz w:val="24"/>
                <w:szCs w:val="24"/>
              </w:rPr>
              <w:t>T</w:t>
            </w:r>
          </w:p>
        </w:tc>
        <w:tc>
          <w:tcPr>
            <w:tcW w:w="3284" w:type="dxa"/>
          </w:tcPr>
          <w:p w14:paraId="359D8A4F" w14:textId="77777777" w:rsidR="00D5773A" w:rsidRPr="005866FD" w:rsidRDefault="00D5773A"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5</w:t>
            </w:r>
          </w:p>
        </w:tc>
      </w:tr>
      <w:tr w:rsidR="00D5773A" w:rsidRPr="005866FD" w14:paraId="1A4D0A96" w14:textId="77777777" w:rsidTr="00A53F7A">
        <w:tc>
          <w:tcPr>
            <w:tcW w:w="6076" w:type="dxa"/>
          </w:tcPr>
          <w:p w14:paraId="767FDB55" w14:textId="77777777" w:rsidR="00D5773A" w:rsidRPr="005866FD" w:rsidRDefault="00D5773A" w:rsidP="00997042">
            <w:pP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 xml:space="preserve">Delay cost, </w:t>
            </w:r>
            <m:oMath>
              <m:r>
                <w:rPr>
                  <w:rFonts w:ascii="Cambria Math" w:eastAsiaTheme="minorEastAsia" w:hAnsi="Cambria Math" w:cs="Times New Roman"/>
                  <w:sz w:val="24"/>
                  <w:szCs w:val="24"/>
                </w:rPr>
                <m:t>δ</m:t>
              </m:r>
            </m:oMath>
          </w:p>
        </w:tc>
        <w:tc>
          <w:tcPr>
            <w:tcW w:w="3284" w:type="dxa"/>
          </w:tcPr>
          <w:p w14:paraId="220E512E" w14:textId="77777777" w:rsidR="00D5773A" w:rsidRPr="005866FD" w:rsidRDefault="00D5773A"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0.05</w:t>
            </w:r>
          </w:p>
        </w:tc>
      </w:tr>
      <w:tr w:rsidR="00D5773A" w:rsidRPr="005866FD" w14:paraId="79C26422" w14:textId="77777777" w:rsidTr="00A53F7A">
        <w:tc>
          <w:tcPr>
            <w:tcW w:w="6076" w:type="dxa"/>
            <w:tcBorders>
              <w:bottom w:val="thickThinSmallGap" w:sz="12" w:space="0" w:color="000000"/>
            </w:tcBorders>
          </w:tcPr>
          <w:p w14:paraId="189BCACD" w14:textId="77777777" w:rsidR="00D5773A" w:rsidRPr="005866FD" w:rsidRDefault="00D5773A" w:rsidP="00997042">
            <w:pP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 xml:space="preserve">Set of fair market prices in contest,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m</m:t>
                  </m:r>
                </m:sub>
              </m:sSub>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a-ϵ,a,a+ϵ</m:t>
                  </m:r>
                </m:e>
              </m:d>
            </m:oMath>
          </w:p>
        </w:tc>
        <w:tc>
          <w:tcPr>
            <w:tcW w:w="3284" w:type="dxa"/>
            <w:tcBorders>
              <w:bottom w:val="thickThinSmallGap" w:sz="12" w:space="0" w:color="000000"/>
            </w:tcBorders>
          </w:tcPr>
          <w:p w14:paraId="2BBFD7B1" w14:textId="77777777" w:rsidR="00D5773A" w:rsidRPr="005866FD" w:rsidRDefault="00F50392" w:rsidP="00997042">
            <w:pPr>
              <w:jc w:val="center"/>
              <w:rPr>
                <w:rFonts w:ascii="Times New Roman" w:eastAsiaTheme="minorEastAsia" w:hAnsi="Times New Roman" w:cs="Times New Roman"/>
                <w:sz w:val="24"/>
                <w:szCs w:val="24"/>
              </w:rPr>
            </w:pPr>
            <m:oMathPara>
              <m:oMathParaPr>
                <m:jc m:val="center"/>
              </m:oMathParaP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40,50,60</m:t>
                    </m:r>
                  </m:e>
                </m:d>
              </m:oMath>
            </m:oMathPara>
          </w:p>
        </w:tc>
      </w:tr>
    </w:tbl>
    <w:p w14:paraId="31886D74" w14:textId="77777777" w:rsidR="00D5773A" w:rsidRPr="005866FD" w:rsidRDefault="00D5773A" w:rsidP="00D5773A">
      <w:pPr>
        <w:spacing w:line="480" w:lineRule="auto"/>
        <w:rPr>
          <w:rFonts w:ascii="Times New Roman" w:eastAsiaTheme="minorEastAsia" w:hAnsi="Times New Roman" w:cs="Times New Roman"/>
          <w:sz w:val="24"/>
          <w:szCs w:val="24"/>
        </w:rPr>
      </w:pPr>
    </w:p>
    <w:p w14:paraId="59DBD3C8" w14:textId="77777777" w:rsidR="00D5773A" w:rsidRPr="005866FD" w:rsidRDefault="00D5773A" w:rsidP="00D5773A">
      <w:pPr>
        <w:spacing w:line="480" w:lineRule="auto"/>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Table 3. Theoretical predictions</w:t>
      </w:r>
      <w:r w:rsidR="00E50DC5" w:rsidRPr="005866FD">
        <w:rPr>
          <w:rFonts w:ascii="Times New Roman" w:eastAsiaTheme="minorEastAsia" w:hAnsi="Times New Roman" w:cs="Times New Roman"/>
          <w:sz w:val="24"/>
          <w:szCs w:val="24"/>
        </w:rPr>
        <w:t xml:space="preserve"> from our theoretical model and simulated negotiations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1163"/>
        <w:gridCol w:w="1536"/>
        <w:gridCol w:w="1983"/>
      </w:tblGrid>
      <w:tr w:rsidR="00F91DB8" w:rsidRPr="005866FD" w14:paraId="757E46F2" w14:textId="77777777" w:rsidTr="00997042">
        <w:tc>
          <w:tcPr>
            <w:tcW w:w="3495" w:type="dxa"/>
            <w:tcBorders>
              <w:top w:val="thinThickSmallGap" w:sz="12" w:space="0" w:color="000000"/>
              <w:bottom w:val="single" w:sz="4" w:space="0" w:color="000000"/>
            </w:tcBorders>
          </w:tcPr>
          <w:p w14:paraId="615874EC" w14:textId="77777777" w:rsidR="00F91DB8" w:rsidRPr="005866FD" w:rsidRDefault="00F91DB8" w:rsidP="00997042">
            <w:pPr>
              <w:rPr>
                <w:rFonts w:ascii="Times New Roman" w:eastAsiaTheme="minorEastAsia" w:hAnsi="Times New Roman" w:cs="Times New Roman"/>
                <w:sz w:val="24"/>
                <w:szCs w:val="24"/>
              </w:rPr>
            </w:pPr>
          </w:p>
        </w:tc>
        <w:tc>
          <w:tcPr>
            <w:tcW w:w="1163" w:type="dxa"/>
            <w:tcBorders>
              <w:top w:val="thinThickSmallGap" w:sz="12" w:space="0" w:color="000000"/>
              <w:bottom w:val="single" w:sz="4" w:space="0" w:color="000000"/>
            </w:tcBorders>
          </w:tcPr>
          <w:p w14:paraId="198A76B3" w14:textId="77777777" w:rsidR="00F91DB8" w:rsidRPr="005866FD" w:rsidRDefault="00F91DB8"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Baseline</w:t>
            </w:r>
          </w:p>
        </w:tc>
        <w:tc>
          <w:tcPr>
            <w:tcW w:w="1536" w:type="dxa"/>
            <w:tcBorders>
              <w:top w:val="thinThickSmallGap" w:sz="12" w:space="0" w:color="000000"/>
              <w:bottom w:val="single" w:sz="4" w:space="0" w:color="000000"/>
            </w:tcBorders>
          </w:tcPr>
          <w:p w14:paraId="6FF87941" w14:textId="77777777" w:rsidR="00F91DB8" w:rsidRPr="005866FD" w:rsidRDefault="00F91DB8"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Competition</w:t>
            </w:r>
          </w:p>
        </w:tc>
        <w:tc>
          <w:tcPr>
            <w:tcW w:w="1983" w:type="dxa"/>
            <w:tcBorders>
              <w:top w:val="thinThickSmallGap" w:sz="12" w:space="0" w:color="000000"/>
              <w:bottom w:val="single" w:sz="4" w:space="0" w:color="000000"/>
            </w:tcBorders>
          </w:tcPr>
          <w:p w14:paraId="2A50B6B7" w14:textId="77777777" w:rsidR="00F91DB8" w:rsidRPr="005866FD" w:rsidRDefault="00F91DB8"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Eminent Domain</w:t>
            </w:r>
          </w:p>
        </w:tc>
      </w:tr>
      <w:tr w:rsidR="00F91DB8" w:rsidRPr="005866FD" w14:paraId="20CEF9BE" w14:textId="77777777" w:rsidTr="00997042">
        <w:tc>
          <w:tcPr>
            <w:tcW w:w="3495" w:type="dxa"/>
            <w:tcBorders>
              <w:top w:val="single" w:sz="4" w:space="0" w:color="000000"/>
            </w:tcBorders>
          </w:tcPr>
          <w:p w14:paraId="0874A229" w14:textId="77777777" w:rsidR="00F91DB8" w:rsidRPr="005866FD" w:rsidRDefault="00F91DB8" w:rsidP="00997042">
            <w:pP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Average opening offer</w:t>
            </w:r>
          </w:p>
        </w:tc>
        <w:tc>
          <w:tcPr>
            <w:tcW w:w="1163" w:type="dxa"/>
            <w:tcBorders>
              <w:top w:val="single" w:sz="4" w:space="0" w:color="000000"/>
            </w:tcBorders>
          </w:tcPr>
          <w:p w14:paraId="7D7DB643" w14:textId="77777777" w:rsidR="00F91DB8" w:rsidRPr="005866FD" w:rsidRDefault="00F91DB8"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75</w:t>
            </w:r>
          </w:p>
        </w:tc>
        <w:tc>
          <w:tcPr>
            <w:tcW w:w="1536" w:type="dxa"/>
            <w:tcBorders>
              <w:top w:val="single" w:sz="4" w:space="0" w:color="000000"/>
            </w:tcBorders>
          </w:tcPr>
          <w:p w14:paraId="5AC63175" w14:textId="77777777" w:rsidR="00F91DB8" w:rsidRPr="005866FD" w:rsidRDefault="00F91DB8"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71</w:t>
            </w:r>
          </w:p>
        </w:tc>
        <w:tc>
          <w:tcPr>
            <w:tcW w:w="1983" w:type="dxa"/>
            <w:tcBorders>
              <w:top w:val="single" w:sz="4" w:space="0" w:color="000000"/>
            </w:tcBorders>
          </w:tcPr>
          <w:p w14:paraId="00643EEF" w14:textId="77777777" w:rsidR="00F91DB8" w:rsidRPr="005866FD" w:rsidRDefault="00F91DB8" w:rsidP="00997042">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45</w:t>
            </w:r>
          </w:p>
        </w:tc>
      </w:tr>
      <w:tr w:rsidR="00F91DB8" w:rsidRPr="005866FD" w14:paraId="4EE64ED8" w14:textId="77777777" w:rsidTr="00997042">
        <w:tc>
          <w:tcPr>
            <w:tcW w:w="3495" w:type="dxa"/>
          </w:tcPr>
          <w:p w14:paraId="3F4FBA3A" w14:textId="77777777" w:rsidR="00F91DB8" w:rsidRPr="005866FD" w:rsidRDefault="00F91DB8" w:rsidP="00997042">
            <w:pP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Efficient assembly rate</w:t>
            </w:r>
          </w:p>
        </w:tc>
        <w:tc>
          <w:tcPr>
            <w:tcW w:w="1163" w:type="dxa"/>
          </w:tcPr>
          <w:p w14:paraId="70A820E1" w14:textId="77777777" w:rsidR="00F91DB8" w:rsidRPr="005866FD" w:rsidRDefault="00F91DB8"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89%</w:t>
            </w:r>
          </w:p>
        </w:tc>
        <w:tc>
          <w:tcPr>
            <w:tcW w:w="1536" w:type="dxa"/>
          </w:tcPr>
          <w:p w14:paraId="7D024175" w14:textId="77777777" w:rsidR="00F91DB8" w:rsidRPr="005866FD" w:rsidRDefault="00F91DB8"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60%</w:t>
            </w:r>
          </w:p>
        </w:tc>
        <w:tc>
          <w:tcPr>
            <w:tcW w:w="1983" w:type="dxa"/>
          </w:tcPr>
          <w:p w14:paraId="5A963118" w14:textId="77777777" w:rsidR="00F91DB8" w:rsidRPr="005866FD" w:rsidRDefault="00F91DB8"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100%</w:t>
            </w:r>
          </w:p>
        </w:tc>
      </w:tr>
      <w:tr w:rsidR="00F91DB8" w:rsidRPr="005866FD" w14:paraId="21278B33" w14:textId="77777777" w:rsidTr="00997042">
        <w:tc>
          <w:tcPr>
            <w:tcW w:w="3495" w:type="dxa"/>
          </w:tcPr>
          <w:p w14:paraId="746B883C" w14:textId="77777777" w:rsidR="00F91DB8" w:rsidRPr="005866FD" w:rsidRDefault="00F91DB8" w:rsidP="00997042">
            <w:pP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Efficient fragmentation rate</w:t>
            </w:r>
          </w:p>
        </w:tc>
        <w:tc>
          <w:tcPr>
            <w:tcW w:w="1163" w:type="dxa"/>
          </w:tcPr>
          <w:p w14:paraId="5C5668D8" w14:textId="77777777" w:rsidR="00F91DB8" w:rsidRPr="005866FD" w:rsidRDefault="00F91DB8"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100%</w:t>
            </w:r>
          </w:p>
        </w:tc>
        <w:tc>
          <w:tcPr>
            <w:tcW w:w="1536" w:type="dxa"/>
          </w:tcPr>
          <w:p w14:paraId="7A011AD4" w14:textId="77777777" w:rsidR="00F91DB8" w:rsidRPr="005866FD" w:rsidRDefault="00F91DB8"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100%</w:t>
            </w:r>
          </w:p>
        </w:tc>
        <w:tc>
          <w:tcPr>
            <w:tcW w:w="1983" w:type="dxa"/>
          </w:tcPr>
          <w:p w14:paraId="176F3A98" w14:textId="77777777" w:rsidR="00F91DB8" w:rsidRPr="005866FD" w:rsidRDefault="00F91DB8"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0%</w:t>
            </w:r>
          </w:p>
        </w:tc>
      </w:tr>
      <w:tr w:rsidR="00F91DB8" w:rsidRPr="005866FD" w14:paraId="454AB3BD" w14:textId="77777777" w:rsidTr="00997042">
        <w:tc>
          <w:tcPr>
            <w:tcW w:w="3495" w:type="dxa"/>
          </w:tcPr>
          <w:p w14:paraId="0513DCED" w14:textId="77777777" w:rsidR="00F91DB8" w:rsidRPr="005866FD" w:rsidRDefault="00F91DB8" w:rsidP="00997042">
            <w:pP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Average number of periods in all rounds</w:t>
            </w:r>
          </w:p>
        </w:tc>
        <w:tc>
          <w:tcPr>
            <w:tcW w:w="1163" w:type="dxa"/>
          </w:tcPr>
          <w:p w14:paraId="660F28D1" w14:textId="77777777" w:rsidR="00F91DB8" w:rsidRPr="005866FD" w:rsidRDefault="00F91DB8"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3.4</w:t>
            </w:r>
          </w:p>
        </w:tc>
        <w:tc>
          <w:tcPr>
            <w:tcW w:w="1536" w:type="dxa"/>
          </w:tcPr>
          <w:p w14:paraId="6E9DC705" w14:textId="77777777" w:rsidR="00F91DB8" w:rsidRPr="005866FD" w:rsidRDefault="00F91DB8"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2.7</w:t>
            </w:r>
          </w:p>
        </w:tc>
        <w:tc>
          <w:tcPr>
            <w:tcW w:w="1983" w:type="dxa"/>
          </w:tcPr>
          <w:p w14:paraId="35E8F6A4" w14:textId="77777777" w:rsidR="00F91DB8" w:rsidRPr="005866FD" w:rsidRDefault="00F91DB8"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1</w:t>
            </w:r>
          </w:p>
        </w:tc>
      </w:tr>
      <w:tr w:rsidR="00F91DB8" w:rsidRPr="005866FD" w14:paraId="007C44A2" w14:textId="77777777" w:rsidTr="00997042">
        <w:tc>
          <w:tcPr>
            <w:tcW w:w="3495" w:type="dxa"/>
          </w:tcPr>
          <w:p w14:paraId="5DDE4269" w14:textId="77777777" w:rsidR="00F91DB8" w:rsidRPr="005866FD" w:rsidRDefault="00F91DB8" w:rsidP="00997042">
            <w:pP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Average number of periods when assembly produces surplus</w:t>
            </w:r>
          </w:p>
        </w:tc>
        <w:tc>
          <w:tcPr>
            <w:tcW w:w="1163" w:type="dxa"/>
          </w:tcPr>
          <w:p w14:paraId="32A68D70" w14:textId="77777777" w:rsidR="00F91DB8" w:rsidRPr="005866FD" w:rsidRDefault="00F91DB8"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2.1</w:t>
            </w:r>
          </w:p>
        </w:tc>
        <w:tc>
          <w:tcPr>
            <w:tcW w:w="1536" w:type="dxa"/>
          </w:tcPr>
          <w:p w14:paraId="3A8CCC9E" w14:textId="77777777" w:rsidR="00F91DB8" w:rsidRPr="005866FD" w:rsidRDefault="00F91DB8"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1.7</w:t>
            </w:r>
          </w:p>
        </w:tc>
        <w:tc>
          <w:tcPr>
            <w:tcW w:w="1983" w:type="dxa"/>
          </w:tcPr>
          <w:p w14:paraId="46929573" w14:textId="77777777" w:rsidR="00F91DB8" w:rsidRPr="005866FD" w:rsidRDefault="00F91DB8"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1</w:t>
            </w:r>
          </w:p>
        </w:tc>
      </w:tr>
      <w:tr w:rsidR="00F91DB8" w:rsidRPr="005866FD" w14:paraId="10A2B60F" w14:textId="77777777" w:rsidTr="00997042">
        <w:tc>
          <w:tcPr>
            <w:tcW w:w="3495" w:type="dxa"/>
          </w:tcPr>
          <w:p w14:paraId="3A61A4E3" w14:textId="77777777" w:rsidR="00F91DB8" w:rsidRPr="005866FD" w:rsidRDefault="00F91DB8" w:rsidP="00997042">
            <w:pP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Percent of sales forced</w:t>
            </w:r>
          </w:p>
        </w:tc>
        <w:tc>
          <w:tcPr>
            <w:tcW w:w="1163" w:type="dxa"/>
          </w:tcPr>
          <w:p w14:paraId="4EFF6E7C" w14:textId="77777777" w:rsidR="00F91DB8" w:rsidRPr="005866FD" w:rsidRDefault="00F91DB8"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w:t>
            </w:r>
          </w:p>
        </w:tc>
        <w:tc>
          <w:tcPr>
            <w:tcW w:w="1536" w:type="dxa"/>
          </w:tcPr>
          <w:p w14:paraId="383E5E11" w14:textId="77777777" w:rsidR="00F91DB8" w:rsidRPr="005866FD" w:rsidRDefault="00F91DB8"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w:t>
            </w:r>
          </w:p>
        </w:tc>
        <w:tc>
          <w:tcPr>
            <w:tcW w:w="1983" w:type="dxa"/>
          </w:tcPr>
          <w:p w14:paraId="4BAB95E8" w14:textId="77777777" w:rsidR="00F91DB8" w:rsidRPr="005866FD" w:rsidRDefault="00F91DB8"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0%</w:t>
            </w:r>
          </w:p>
        </w:tc>
      </w:tr>
      <w:tr w:rsidR="00F91DB8" w:rsidRPr="005866FD" w14:paraId="561E0906" w14:textId="77777777" w:rsidTr="00997042">
        <w:tc>
          <w:tcPr>
            <w:tcW w:w="3495" w:type="dxa"/>
          </w:tcPr>
          <w:p w14:paraId="4D2F0995" w14:textId="77777777" w:rsidR="00F91DB8" w:rsidRPr="005866FD" w:rsidRDefault="00F91DB8" w:rsidP="00997042">
            <w:pP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Buyer’s contest spending</w:t>
            </w:r>
          </w:p>
        </w:tc>
        <w:tc>
          <w:tcPr>
            <w:tcW w:w="1163" w:type="dxa"/>
          </w:tcPr>
          <w:p w14:paraId="208F7272" w14:textId="77777777" w:rsidR="00F91DB8" w:rsidRPr="005866FD" w:rsidRDefault="00F91DB8"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w:t>
            </w:r>
          </w:p>
        </w:tc>
        <w:tc>
          <w:tcPr>
            <w:tcW w:w="1536" w:type="dxa"/>
          </w:tcPr>
          <w:p w14:paraId="3A2646AC" w14:textId="77777777" w:rsidR="00F91DB8" w:rsidRPr="005866FD" w:rsidRDefault="00F91DB8"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w:t>
            </w:r>
          </w:p>
        </w:tc>
        <w:tc>
          <w:tcPr>
            <w:tcW w:w="1983" w:type="dxa"/>
          </w:tcPr>
          <w:p w14:paraId="6972045B" w14:textId="77777777" w:rsidR="00F91DB8" w:rsidRPr="005866FD" w:rsidRDefault="00F91DB8" w:rsidP="00997042">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r>
      <w:tr w:rsidR="00F91DB8" w:rsidRPr="005866FD" w14:paraId="46F6C98D" w14:textId="77777777" w:rsidTr="00997042">
        <w:tc>
          <w:tcPr>
            <w:tcW w:w="3495" w:type="dxa"/>
            <w:tcBorders>
              <w:bottom w:val="thickThinSmallGap" w:sz="12" w:space="0" w:color="000000"/>
            </w:tcBorders>
          </w:tcPr>
          <w:p w14:paraId="594D0F95" w14:textId="77777777" w:rsidR="00F91DB8" w:rsidRPr="005866FD" w:rsidRDefault="00F91DB8" w:rsidP="00997042">
            <w:pP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Seller’s contest spending</w:t>
            </w:r>
          </w:p>
        </w:tc>
        <w:tc>
          <w:tcPr>
            <w:tcW w:w="1163" w:type="dxa"/>
            <w:tcBorders>
              <w:bottom w:val="thickThinSmallGap" w:sz="12" w:space="0" w:color="000000"/>
            </w:tcBorders>
          </w:tcPr>
          <w:p w14:paraId="7C5BB040" w14:textId="77777777" w:rsidR="00F91DB8" w:rsidRPr="005866FD" w:rsidRDefault="00F91DB8"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w:t>
            </w:r>
          </w:p>
        </w:tc>
        <w:tc>
          <w:tcPr>
            <w:tcW w:w="1536" w:type="dxa"/>
            <w:tcBorders>
              <w:bottom w:val="thickThinSmallGap" w:sz="12" w:space="0" w:color="000000"/>
            </w:tcBorders>
          </w:tcPr>
          <w:p w14:paraId="64858162" w14:textId="77777777" w:rsidR="00F91DB8" w:rsidRPr="005866FD" w:rsidRDefault="00F91DB8"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w:t>
            </w:r>
          </w:p>
        </w:tc>
        <w:tc>
          <w:tcPr>
            <w:tcW w:w="1983" w:type="dxa"/>
            <w:tcBorders>
              <w:bottom w:val="thickThinSmallGap" w:sz="12" w:space="0" w:color="000000"/>
            </w:tcBorders>
          </w:tcPr>
          <w:p w14:paraId="70C1696F" w14:textId="77777777" w:rsidR="00F91DB8" w:rsidRPr="005866FD" w:rsidRDefault="00F91DB8" w:rsidP="00997042">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r>
    </w:tbl>
    <w:p w14:paraId="049EF460" w14:textId="77777777" w:rsidR="00D5773A" w:rsidRPr="005866FD" w:rsidRDefault="00D5773A" w:rsidP="00D5773A">
      <w:pPr>
        <w:spacing w:line="480" w:lineRule="auto"/>
        <w:rPr>
          <w:rFonts w:ascii="Times New Roman" w:eastAsiaTheme="minorEastAsia" w:hAnsi="Times New Roman" w:cs="Times New Roman"/>
          <w:sz w:val="24"/>
          <w:szCs w:val="24"/>
        </w:rPr>
      </w:pPr>
    </w:p>
    <w:p w14:paraId="6111CBA8" w14:textId="77777777" w:rsidR="00EE6F4D" w:rsidRDefault="00EE6F4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14:paraId="02BEE27F" w14:textId="77777777" w:rsidR="00D5773A" w:rsidRPr="005866FD" w:rsidRDefault="00D5773A" w:rsidP="00D5773A">
      <w:pP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 xml:space="preserve">Table </w:t>
      </w:r>
      <w:r w:rsidR="002F3F8A">
        <w:rPr>
          <w:rFonts w:ascii="Times New Roman" w:eastAsiaTheme="minorEastAsia" w:hAnsi="Times New Roman" w:cs="Times New Roman"/>
          <w:sz w:val="24"/>
          <w:szCs w:val="24"/>
        </w:rPr>
        <w:t>4</w:t>
      </w:r>
      <w:r w:rsidRPr="005866FD">
        <w:rPr>
          <w:rFonts w:ascii="Times New Roman" w:eastAsiaTheme="minorEastAsia" w:hAnsi="Times New Roman" w:cs="Times New Roman"/>
          <w:sz w:val="24"/>
          <w:szCs w:val="24"/>
        </w:rPr>
        <w:t>.  Average basic and normalized efficiency in each treatment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9"/>
        <w:gridCol w:w="1163"/>
        <w:gridCol w:w="1536"/>
        <w:gridCol w:w="1983"/>
      </w:tblGrid>
      <w:tr w:rsidR="00EE6F4D" w:rsidRPr="005866FD" w14:paraId="64E3BB25" w14:textId="77777777" w:rsidTr="00997042">
        <w:tc>
          <w:tcPr>
            <w:tcW w:w="2529" w:type="dxa"/>
            <w:tcBorders>
              <w:top w:val="thinThickSmallGap" w:sz="12" w:space="0" w:color="000000"/>
              <w:bottom w:val="single" w:sz="4" w:space="0" w:color="000000"/>
            </w:tcBorders>
          </w:tcPr>
          <w:p w14:paraId="7003DC47" w14:textId="77777777" w:rsidR="00EE6F4D" w:rsidRPr="005866FD" w:rsidRDefault="00EE6F4D" w:rsidP="00997042">
            <w:pPr>
              <w:rPr>
                <w:rFonts w:ascii="Times New Roman" w:eastAsiaTheme="minorEastAsia" w:hAnsi="Times New Roman" w:cs="Times New Roman"/>
                <w:sz w:val="24"/>
                <w:szCs w:val="24"/>
              </w:rPr>
            </w:pPr>
          </w:p>
        </w:tc>
        <w:tc>
          <w:tcPr>
            <w:tcW w:w="1163" w:type="dxa"/>
            <w:tcBorders>
              <w:top w:val="thinThickSmallGap" w:sz="12" w:space="0" w:color="000000"/>
              <w:bottom w:val="single" w:sz="4" w:space="0" w:color="000000"/>
            </w:tcBorders>
          </w:tcPr>
          <w:p w14:paraId="5F268E33" w14:textId="77777777" w:rsidR="00EE6F4D" w:rsidRPr="005866FD" w:rsidRDefault="00EE6F4D"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Baseline</w:t>
            </w:r>
          </w:p>
        </w:tc>
        <w:tc>
          <w:tcPr>
            <w:tcW w:w="1536" w:type="dxa"/>
            <w:tcBorders>
              <w:top w:val="thinThickSmallGap" w:sz="12" w:space="0" w:color="000000"/>
              <w:bottom w:val="single" w:sz="4" w:space="0" w:color="000000"/>
            </w:tcBorders>
          </w:tcPr>
          <w:p w14:paraId="652A156A" w14:textId="77777777" w:rsidR="00EE6F4D" w:rsidRPr="005866FD" w:rsidRDefault="00EE6F4D"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Competition</w:t>
            </w:r>
          </w:p>
        </w:tc>
        <w:tc>
          <w:tcPr>
            <w:tcW w:w="1983" w:type="dxa"/>
            <w:tcBorders>
              <w:top w:val="thinThickSmallGap" w:sz="12" w:space="0" w:color="000000"/>
              <w:bottom w:val="single" w:sz="4" w:space="0" w:color="000000"/>
            </w:tcBorders>
          </w:tcPr>
          <w:p w14:paraId="1A846A03" w14:textId="77777777" w:rsidR="00EE6F4D" w:rsidRPr="005866FD" w:rsidRDefault="00EE6F4D"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Eminent Domain</w:t>
            </w:r>
          </w:p>
        </w:tc>
      </w:tr>
      <w:tr w:rsidR="00EE6F4D" w:rsidRPr="005866FD" w14:paraId="7A885009" w14:textId="77777777" w:rsidTr="00997042">
        <w:tc>
          <w:tcPr>
            <w:tcW w:w="2529" w:type="dxa"/>
            <w:tcBorders>
              <w:top w:val="single" w:sz="4" w:space="0" w:color="000000"/>
            </w:tcBorders>
          </w:tcPr>
          <w:p w14:paraId="0F8F7447" w14:textId="77777777" w:rsidR="00EE6F4D" w:rsidRPr="005866FD" w:rsidRDefault="00EE6F4D" w:rsidP="00EE6F4D">
            <w:pP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Basic Efficiency</w:t>
            </w:r>
          </w:p>
        </w:tc>
        <w:tc>
          <w:tcPr>
            <w:tcW w:w="1163" w:type="dxa"/>
            <w:tcBorders>
              <w:top w:val="single" w:sz="4" w:space="0" w:color="000000"/>
            </w:tcBorders>
          </w:tcPr>
          <w:p w14:paraId="0D6C889C" w14:textId="77777777" w:rsidR="00EE6F4D" w:rsidRPr="005866FD" w:rsidRDefault="00EE6F4D" w:rsidP="00EE6F4D">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81.9%</w:t>
            </w:r>
          </w:p>
        </w:tc>
        <w:tc>
          <w:tcPr>
            <w:tcW w:w="1536" w:type="dxa"/>
            <w:tcBorders>
              <w:top w:val="single" w:sz="4" w:space="0" w:color="000000"/>
            </w:tcBorders>
          </w:tcPr>
          <w:p w14:paraId="17C180B9" w14:textId="77777777" w:rsidR="00EE6F4D" w:rsidRPr="005866FD" w:rsidRDefault="00EE6F4D" w:rsidP="00EE6F4D">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88.5%</w:t>
            </w:r>
          </w:p>
        </w:tc>
        <w:tc>
          <w:tcPr>
            <w:tcW w:w="1983" w:type="dxa"/>
            <w:tcBorders>
              <w:top w:val="single" w:sz="4" w:space="0" w:color="000000"/>
            </w:tcBorders>
          </w:tcPr>
          <w:p w14:paraId="7573E796" w14:textId="77777777" w:rsidR="00EE6F4D" w:rsidRPr="005866FD" w:rsidRDefault="00EE6F4D" w:rsidP="00EE6F4D">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81.4%</w:t>
            </w:r>
          </w:p>
        </w:tc>
      </w:tr>
      <w:tr w:rsidR="00EE6F4D" w:rsidRPr="005866FD" w14:paraId="1E6949C7" w14:textId="77777777" w:rsidTr="00997042">
        <w:tc>
          <w:tcPr>
            <w:tcW w:w="2529" w:type="dxa"/>
            <w:tcBorders>
              <w:bottom w:val="thickThinSmallGap" w:sz="12" w:space="0" w:color="000000"/>
            </w:tcBorders>
          </w:tcPr>
          <w:p w14:paraId="5A7374DC" w14:textId="77777777" w:rsidR="00EE6F4D" w:rsidRPr="005866FD" w:rsidRDefault="00EE6F4D" w:rsidP="00EE6F4D">
            <w:pP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Normalized Efficiency</w:t>
            </w:r>
          </w:p>
        </w:tc>
        <w:tc>
          <w:tcPr>
            <w:tcW w:w="1163" w:type="dxa"/>
            <w:tcBorders>
              <w:bottom w:val="thickThinSmallGap" w:sz="12" w:space="0" w:color="000000"/>
            </w:tcBorders>
          </w:tcPr>
          <w:p w14:paraId="1A57050D" w14:textId="77777777" w:rsidR="00EE6F4D" w:rsidRPr="005866FD" w:rsidRDefault="00EE6F4D" w:rsidP="00EE6F4D">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46.0%</w:t>
            </w:r>
          </w:p>
        </w:tc>
        <w:tc>
          <w:tcPr>
            <w:tcW w:w="1536" w:type="dxa"/>
            <w:tcBorders>
              <w:bottom w:val="thickThinSmallGap" w:sz="12" w:space="0" w:color="000000"/>
            </w:tcBorders>
          </w:tcPr>
          <w:p w14:paraId="17697122" w14:textId="77777777" w:rsidR="00EE6F4D" w:rsidRPr="005866FD" w:rsidRDefault="00EE6F4D" w:rsidP="00EE6F4D">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64.9%</w:t>
            </w:r>
          </w:p>
        </w:tc>
        <w:tc>
          <w:tcPr>
            <w:tcW w:w="1983" w:type="dxa"/>
            <w:tcBorders>
              <w:bottom w:val="thickThinSmallGap" w:sz="12" w:space="0" w:color="000000"/>
            </w:tcBorders>
          </w:tcPr>
          <w:p w14:paraId="4325DBAD" w14:textId="77777777" w:rsidR="00EE6F4D" w:rsidRPr="005866FD" w:rsidRDefault="00EE6F4D" w:rsidP="00EE6F4D">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69.4%</w:t>
            </w:r>
          </w:p>
        </w:tc>
      </w:tr>
    </w:tbl>
    <w:p w14:paraId="4840072C" w14:textId="77777777" w:rsidR="00D5773A" w:rsidRPr="005866FD" w:rsidRDefault="00D5773A" w:rsidP="00D5773A">
      <w:pPr>
        <w:rPr>
          <w:rFonts w:ascii="Times New Roman" w:eastAsiaTheme="minorEastAsia" w:hAnsi="Times New Roman" w:cs="Times New Roman"/>
          <w:sz w:val="24"/>
          <w:szCs w:val="24"/>
        </w:rPr>
      </w:pPr>
    </w:p>
    <w:p w14:paraId="5B5FFF72" w14:textId="77777777" w:rsidR="00D5773A" w:rsidRPr="005866FD" w:rsidRDefault="00D5773A" w:rsidP="00D5773A">
      <w:pP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 xml:space="preserve">Table </w:t>
      </w:r>
      <w:r w:rsidR="002F3F8A">
        <w:rPr>
          <w:rFonts w:ascii="Times New Roman" w:eastAsiaTheme="minorEastAsia" w:hAnsi="Times New Roman" w:cs="Times New Roman"/>
          <w:sz w:val="24"/>
          <w:szCs w:val="24"/>
        </w:rPr>
        <w:t>5</w:t>
      </w:r>
      <w:r w:rsidRPr="005866FD">
        <w:rPr>
          <w:rFonts w:ascii="Times New Roman" w:eastAsiaTheme="minorEastAsia" w:hAnsi="Times New Roman" w:cs="Times New Roman"/>
          <w:sz w:val="24"/>
          <w:szCs w:val="24"/>
        </w:rPr>
        <w:t xml:space="preserve">. Mann-Whitney statistics from pairwise comparisons of basic and normalized efficiency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tblGrid>
      <w:tr w:rsidR="00EE6F4D" w:rsidRPr="005866FD" w14:paraId="45E74FB7" w14:textId="77777777" w:rsidTr="00AC7E25">
        <w:tc>
          <w:tcPr>
            <w:tcW w:w="7480" w:type="dxa"/>
            <w:gridSpan w:val="4"/>
            <w:tcBorders>
              <w:top w:val="thinThickSmallGap" w:sz="12" w:space="0" w:color="000000"/>
              <w:bottom w:val="single" w:sz="4" w:space="0" w:color="000000"/>
            </w:tcBorders>
          </w:tcPr>
          <w:p w14:paraId="0CD797CD" w14:textId="77777777" w:rsidR="00EE6F4D" w:rsidRPr="005866FD" w:rsidRDefault="00EE6F4D"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Panel A – Comparison of Basic Efficiency</w:t>
            </w:r>
          </w:p>
        </w:tc>
      </w:tr>
      <w:tr w:rsidR="00EE6F4D" w:rsidRPr="005866FD" w14:paraId="6F79AC05" w14:textId="77777777" w:rsidTr="00997042">
        <w:tc>
          <w:tcPr>
            <w:tcW w:w="1870" w:type="dxa"/>
            <w:tcBorders>
              <w:top w:val="single" w:sz="4" w:space="0" w:color="000000"/>
            </w:tcBorders>
          </w:tcPr>
          <w:p w14:paraId="55E9FAD1" w14:textId="77777777" w:rsidR="00EE6F4D" w:rsidRPr="005866FD" w:rsidRDefault="00EE6F4D" w:rsidP="00997042">
            <w:pPr>
              <w:rPr>
                <w:rFonts w:ascii="Times New Roman" w:eastAsiaTheme="minorEastAsia" w:hAnsi="Times New Roman" w:cs="Times New Roman"/>
                <w:sz w:val="24"/>
                <w:szCs w:val="24"/>
              </w:rPr>
            </w:pPr>
          </w:p>
        </w:tc>
        <w:tc>
          <w:tcPr>
            <w:tcW w:w="1870" w:type="dxa"/>
            <w:tcBorders>
              <w:top w:val="single" w:sz="4" w:space="0" w:color="000000"/>
            </w:tcBorders>
          </w:tcPr>
          <w:p w14:paraId="0C480DE1" w14:textId="77777777" w:rsidR="00EE6F4D" w:rsidRPr="005866FD" w:rsidRDefault="00EE6F4D"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Baseline</w:t>
            </w:r>
          </w:p>
        </w:tc>
        <w:tc>
          <w:tcPr>
            <w:tcW w:w="1870" w:type="dxa"/>
            <w:tcBorders>
              <w:top w:val="single" w:sz="4" w:space="0" w:color="000000"/>
            </w:tcBorders>
          </w:tcPr>
          <w:p w14:paraId="43491E12" w14:textId="77777777" w:rsidR="00EE6F4D" w:rsidRPr="005866FD" w:rsidRDefault="00EE6F4D"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Competition</w:t>
            </w:r>
          </w:p>
        </w:tc>
        <w:tc>
          <w:tcPr>
            <w:tcW w:w="1870" w:type="dxa"/>
            <w:tcBorders>
              <w:top w:val="single" w:sz="4" w:space="0" w:color="000000"/>
            </w:tcBorders>
          </w:tcPr>
          <w:p w14:paraId="67136E41" w14:textId="77777777" w:rsidR="00EE6F4D" w:rsidRPr="005866FD" w:rsidRDefault="00EE6F4D"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Eminent Domain</w:t>
            </w:r>
          </w:p>
        </w:tc>
      </w:tr>
      <w:tr w:rsidR="00EE6F4D" w:rsidRPr="005866FD" w14:paraId="57305BA1" w14:textId="77777777" w:rsidTr="00997042">
        <w:tc>
          <w:tcPr>
            <w:tcW w:w="1870" w:type="dxa"/>
          </w:tcPr>
          <w:p w14:paraId="29C9380D" w14:textId="77777777" w:rsidR="00EE6F4D" w:rsidRPr="005866FD" w:rsidRDefault="00EE6F4D" w:rsidP="00997042">
            <w:pP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Baseline</w:t>
            </w:r>
          </w:p>
        </w:tc>
        <w:tc>
          <w:tcPr>
            <w:tcW w:w="1870" w:type="dxa"/>
          </w:tcPr>
          <w:p w14:paraId="2778047F" w14:textId="77777777" w:rsidR="00EE6F4D" w:rsidRPr="005866FD" w:rsidRDefault="00EE6F4D" w:rsidP="00997042">
            <w:pPr>
              <w:jc w:val="center"/>
              <w:rPr>
                <w:rFonts w:ascii="Times New Roman" w:eastAsiaTheme="minorEastAsia" w:hAnsi="Times New Roman" w:cs="Times New Roman"/>
                <w:sz w:val="24"/>
                <w:szCs w:val="24"/>
              </w:rPr>
            </w:pPr>
          </w:p>
        </w:tc>
        <w:tc>
          <w:tcPr>
            <w:tcW w:w="1870" w:type="dxa"/>
          </w:tcPr>
          <w:p w14:paraId="42513156" w14:textId="77777777" w:rsidR="00EE6F4D" w:rsidRPr="005866FD" w:rsidRDefault="00EE6F4D" w:rsidP="00997042">
            <w:pPr>
              <w:jc w:val="center"/>
              <w:rPr>
                <w:rFonts w:ascii="Times New Roman" w:eastAsiaTheme="minorEastAsia" w:hAnsi="Times New Roman" w:cs="Times New Roman"/>
                <w:sz w:val="24"/>
                <w:szCs w:val="24"/>
              </w:rPr>
            </w:pPr>
          </w:p>
        </w:tc>
        <w:tc>
          <w:tcPr>
            <w:tcW w:w="1870" w:type="dxa"/>
          </w:tcPr>
          <w:p w14:paraId="3FDE88BC" w14:textId="77777777" w:rsidR="00EE6F4D" w:rsidRPr="005866FD" w:rsidRDefault="00EE6F4D" w:rsidP="00997042">
            <w:pPr>
              <w:jc w:val="center"/>
              <w:rPr>
                <w:rFonts w:ascii="Times New Roman" w:eastAsiaTheme="minorEastAsia" w:hAnsi="Times New Roman" w:cs="Times New Roman"/>
                <w:sz w:val="24"/>
                <w:szCs w:val="24"/>
              </w:rPr>
            </w:pPr>
          </w:p>
        </w:tc>
      </w:tr>
      <w:tr w:rsidR="00EE6F4D" w:rsidRPr="005866FD" w14:paraId="66BFF0CC" w14:textId="77777777" w:rsidTr="00997042">
        <w:tc>
          <w:tcPr>
            <w:tcW w:w="1870" w:type="dxa"/>
          </w:tcPr>
          <w:p w14:paraId="75380654" w14:textId="77777777" w:rsidR="00EE6F4D" w:rsidRPr="005866FD" w:rsidRDefault="00EE6F4D" w:rsidP="00997042">
            <w:pP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Competition</w:t>
            </w:r>
          </w:p>
        </w:tc>
        <w:tc>
          <w:tcPr>
            <w:tcW w:w="1870" w:type="dxa"/>
          </w:tcPr>
          <w:p w14:paraId="0157B25D" w14:textId="77777777" w:rsidR="00EE6F4D" w:rsidRPr="005866FD" w:rsidRDefault="00EE6F4D"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-2.52</w:t>
            </w:r>
            <w:r w:rsidRPr="005866FD">
              <w:rPr>
                <w:rFonts w:ascii="Times New Roman" w:eastAsiaTheme="minorEastAsia" w:hAnsi="Times New Roman" w:cs="Times New Roman"/>
                <w:sz w:val="24"/>
                <w:szCs w:val="24"/>
                <w:vertAlign w:val="superscript"/>
              </w:rPr>
              <w:t>*</w:t>
            </w:r>
          </w:p>
        </w:tc>
        <w:tc>
          <w:tcPr>
            <w:tcW w:w="1870" w:type="dxa"/>
          </w:tcPr>
          <w:p w14:paraId="1C62585A" w14:textId="77777777" w:rsidR="00EE6F4D" w:rsidRPr="005866FD" w:rsidRDefault="00EE6F4D" w:rsidP="00997042">
            <w:pPr>
              <w:jc w:val="center"/>
              <w:rPr>
                <w:rFonts w:ascii="Times New Roman" w:eastAsiaTheme="minorEastAsia" w:hAnsi="Times New Roman" w:cs="Times New Roman"/>
                <w:sz w:val="24"/>
                <w:szCs w:val="24"/>
              </w:rPr>
            </w:pPr>
          </w:p>
        </w:tc>
        <w:tc>
          <w:tcPr>
            <w:tcW w:w="1870" w:type="dxa"/>
          </w:tcPr>
          <w:p w14:paraId="03E441E0" w14:textId="77777777" w:rsidR="00EE6F4D" w:rsidRPr="005866FD" w:rsidRDefault="00EE6F4D" w:rsidP="00997042">
            <w:pPr>
              <w:jc w:val="center"/>
              <w:rPr>
                <w:rFonts w:ascii="Times New Roman" w:eastAsiaTheme="minorEastAsia" w:hAnsi="Times New Roman" w:cs="Times New Roman"/>
                <w:sz w:val="24"/>
                <w:szCs w:val="24"/>
              </w:rPr>
            </w:pPr>
          </w:p>
        </w:tc>
      </w:tr>
      <w:tr w:rsidR="00EE6F4D" w:rsidRPr="005866FD" w14:paraId="6D131FB5" w14:textId="77777777" w:rsidTr="00997042">
        <w:tc>
          <w:tcPr>
            <w:tcW w:w="1870" w:type="dxa"/>
          </w:tcPr>
          <w:p w14:paraId="6C85B010" w14:textId="77777777" w:rsidR="00EE6F4D" w:rsidRPr="005866FD" w:rsidRDefault="00EE6F4D" w:rsidP="00997042">
            <w:pP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Eminent Domain</w:t>
            </w:r>
          </w:p>
        </w:tc>
        <w:tc>
          <w:tcPr>
            <w:tcW w:w="1870" w:type="dxa"/>
          </w:tcPr>
          <w:p w14:paraId="5FC05830" w14:textId="77777777" w:rsidR="00EE6F4D" w:rsidRPr="005866FD" w:rsidRDefault="00EE6F4D"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0.04</w:t>
            </w:r>
          </w:p>
        </w:tc>
        <w:tc>
          <w:tcPr>
            <w:tcW w:w="1870" w:type="dxa"/>
          </w:tcPr>
          <w:p w14:paraId="7104055F" w14:textId="77777777" w:rsidR="00EE6F4D" w:rsidRPr="005866FD" w:rsidRDefault="00EE6F4D"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2.01</w:t>
            </w:r>
            <w:r w:rsidRPr="005866FD">
              <w:rPr>
                <w:rFonts w:ascii="Times New Roman" w:eastAsiaTheme="minorEastAsia" w:hAnsi="Times New Roman" w:cs="Times New Roman"/>
                <w:sz w:val="24"/>
                <w:szCs w:val="24"/>
                <w:vertAlign w:val="superscript"/>
              </w:rPr>
              <w:t>*</w:t>
            </w:r>
          </w:p>
        </w:tc>
        <w:tc>
          <w:tcPr>
            <w:tcW w:w="1870" w:type="dxa"/>
          </w:tcPr>
          <w:p w14:paraId="424F08D8" w14:textId="77777777" w:rsidR="00EE6F4D" w:rsidRPr="005866FD" w:rsidRDefault="00EE6F4D" w:rsidP="00997042">
            <w:pPr>
              <w:jc w:val="center"/>
              <w:rPr>
                <w:rFonts w:ascii="Times New Roman" w:eastAsiaTheme="minorEastAsia" w:hAnsi="Times New Roman" w:cs="Times New Roman"/>
                <w:sz w:val="24"/>
                <w:szCs w:val="24"/>
              </w:rPr>
            </w:pPr>
          </w:p>
        </w:tc>
      </w:tr>
      <w:tr w:rsidR="00EE6F4D" w:rsidRPr="005866FD" w14:paraId="4C70EEED" w14:textId="77777777" w:rsidTr="00AC7E25">
        <w:tc>
          <w:tcPr>
            <w:tcW w:w="7480" w:type="dxa"/>
            <w:gridSpan w:val="4"/>
            <w:tcBorders>
              <w:bottom w:val="single" w:sz="4" w:space="0" w:color="000000"/>
            </w:tcBorders>
          </w:tcPr>
          <w:p w14:paraId="11B44969" w14:textId="77777777" w:rsidR="00EE6F4D" w:rsidRPr="005866FD" w:rsidRDefault="00EE6F4D"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Panel B – Comparison of Normalized Efficiency</w:t>
            </w:r>
          </w:p>
        </w:tc>
      </w:tr>
      <w:tr w:rsidR="00EE6F4D" w:rsidRPr="005866FD" w14:paraId="3A495351" w14:textId="77777777" w:rsidTr="00997042">
        <w:tc>
          <w:tcPr>
            <w:tcW w:w="1870" w:type="dxa"/>
            <w:tcBorders>
              <w:top w:val="single" w:sz="4" w:space="0" w:color="000000"/>
            </w:tcBorders>
          </w:tcPr>
          <w:p w14:paraId="238AD344" w14:textId="77777777" w:rsidR="00EE6F4D" w:rsidRPr="005866FD" w:rsidRDefault="00EE6F4D" w:rsidP="00997042">
            <w:pPr>
              <w:rPr>
                <w:rFonts w:ascii="Times New Roman" w:eastAsiaTheme="minorEastAsia" w:hAnsi="Times New Roman" w:cs="Times New Roman"/>
                <w:sz w:val="24"/>
                <w:szCs w:val="24"/>
              </w:rPr>
            </w:pPr>
          </w:p>
        </w:tc>
        <w:tc>
          <w:tcPr>
            <w:tcW w:w="1870" w:type="dxa"/>
            <w:tcBorders>
              <w:top w:val="single" w:sz="4" w:space="0" w:color="000000"/>
            </w:tcBorders>
          </w:tcPr>
          <w:p w14:paraId="1FD79107" w14:textId="77777777" w:rsidR="00EE6F4D" w:rsidRPr="005866FD" w:rsidRDefault="00EE6F4D"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Baseline</w:t>
            </w:r>
          </w:p>
        </w:tc>
        <w:tc>
          <w:tcPr>
            <w:tcW w:w="1870" w:type="dxa"/>
            <w:tcBorders>
              <w:top w:val="single" w:sz="4" w:space="0" w:color="000000"/>
            </w:tcBorders>
          </w:tcPr>
          <w:p w14:paraId="2BE36B4C" w14:textId="77777777" w:rsidR="00EE6F4D" w:rsidRPr="005866FD" w:rsidRDefault="00EE6F4D"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Competition</w:t>
            </w:r>
          </w:p>
        </w:tc>
        <w:tc>
          <w:tcPr>
            <w:tcW w:w="1870" w:type="dxa"/>
            <w:tcBorders>
              <w:top w:val="single" w:sz="4" w:space="0" w:color="000000"/>
            </w:tcBorders>
          </w:tcPr>
          <w:p w14:paraId="4E980D76" w14:textId="77777777" w:rsidR="00EE6F4D" w:rsidRPr="005866FD" w:rsidRDefault="00EE6F4D"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Eminent Domain</w:t>
            </w:r>
          </w:p>
        </w:tc>
      </w:tr>
      <w:tr w:rsidR="00EE6F4D" w:rsidRPr="005866FD" w14:paraId="33570075" w14:textId="77777777" w:rsidTr="00997042">
        <w:tc>
          <w:tcPr>
            <w:tcW w:w="1870" w:type="dxa"/>
          </w:tcPr>
          <w:p w14:paraId="2A0E1009" w14:textId="77777777" w:rsidR="00EE6F4D" w:rsidRPr="005866FD" w:rsidRDefault="00EE6F4D" w:rsidP="00997042">
            <w:pP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Baseline</w:t>
            </w:r>
          </w:p>
        </w:tc>
        <w:tc>
          <w:tcPr>
            <w:tcW w:w="1870" w:type="dxa"/>
          </w:tcPr>
          <w:p w14:paraId="7889F94A" w14:textId="77777777" w:rsidR="00EE6F4D" w:rsidRPr="005866FD" w:rsidRDefault="00EE6F4D" w:rsidP="00997042">
            <w:pPr>
              <w:jc w:val="center"/>
              <w:rPr>
                <w:rFonts w:ascii="Times New Roman" w:eastAsiaTheme="minorEastAsia" w:hAnsi="Times New Roman" w:cs="Times New Roman"/>
                <w:sz w:val="24"/>
                <w:szCs w:val="24"/>
              </w:rPr>
            </w:pPr>
          </w:p>
        </w:tc>
        <w:tc>
          <w:tcPr>
            <w:tcW w:w="1870" w:type="dxa"/>
          </w:tcPr>
          <w:p w14:paraId="602D8BC9" w14:textId="77777777" w:rsidR="00EE6F4D" w:rsidRPr="005866FD" w:rsidRDefault="00EE6F4D" w:rsidP="00997042">
            <w:pPr>
              <w:jc w:val="center"/>
              <w:rPr>
                <w:rFonts w:ascii="Times New Roman" w:eastAsiaTheme="minorEastAsia" w:hAnsi="Times New Roman" w:cs="Times New Roman"/>
                <w:sz w:val="24"/>
                <w:szCs w:val="24"/>
              </w:rPr>
            </w:pPr>
          </w:p>
        </w:tc>
        <w:tc>
          <w:tcPr>
            <w:tcW w:w="1870" w:type="dxa"/>
          </w:tcPr>
          <w:p w14:paraId="4E587A41" w14:textId="77777777" w:rsidR="00EE6F4D" w:rsidRPr="005866FD" w:rsidRDefault="00EE6F4D" w:rsidP="00997042">
            <w:pPr>
              <w:jc w:val="center"/>
              <w:rPr>
                <w:rFonts w:ascii="Times New Roman" w:eastAsiaTheme="minorEastAsia" w:hAnsi="Times New Roman" w:cs="Times New Roman"/>
                <w:sz w:val="24"/>
                <w:szCs w:val="24"/>
              </w:rPr>
            </w:pPr>
          </w:p>
        </w:tc>
      </w:tr>
      <w:tr w:rsidR="00EE6F4D" w:rsidRPr="005866FD" w14:paraId="2BC0618B" w14:textId="77777777" w:rsidTr="00997042">
        <w:tc>
          <w:tcPr>
            <w:tcW w:w="1870" w:type="dxa"/>
          </w:tcPr>
          <w:p w14:paraId="2BB9511C" w14:textId="77777777" w:rsidR="00EE6F4D" w:rsidRPr="005866FD" w:rsidRDefault="00EE6F4D" w:rsidP="00997042">
            <w:pP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Competition</w:t>
            </w:r>
          </w:p>
        </w:tc>
        <w:tc>
          <w:tcPr>
            <w:tcW w:w="1870" w:type="dxa"/>
          </w:tcPr>
          <w:p w14:paraId="7F697962" w14:textId="77777777" w:rsidR="00EE6F4D" w:rsidRPr="005866FD" w:rsidRDefault="00EE6F4D"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-2.45</w:t>
            </w:r>
            <w:r w:rsidRPr="005866FD">
              <w:rPr>
                <w:rFonts w:ascii="Times New Roman" w:eastAsiaTheme="minorEastAsia" w:hAnsi="Times New Roman" w:cs="Times New Roman"/>
                <w:sz w:val="24"/>
                <w:szCs w:val="24"/>
                <w:vertAlign w:val="superscript"/>
              </w:rPr>
              <w:t>*</w:t>
            </w:r>
          </w:p>
        </w:tc>
        <w:tc>
          <w:tcPr>
            <w:tcW w:w="1870" w:type="dxa"/>
          </w:tcPr>
          <w:p w14:paraId="0C62991E" w14:textId="77777777" w:rsidR="00EE6F4D" w:rsidRPr="005866FD" w:rsidRDefault="00EE6F4D" w:rsidP="00997042">
            <w:pPr>
              <w:jc w:val="center"/>
              <w:rPr>
                <w:rFonts w:ascii="Times New Roman" w:eastAsiaTheme="minorEastAsia" w:hAnsi="Times New Roman" w:cs="Times New Roman"/>
                <w:sz w:val="24"/>
                <w:szCs w:val="24"/>
              </w:rPr>
            </w:pPr>
          </w:p>
        </w:tc>
        <w:tc>
          <w:tcPr>
            <w:tcW w:w="1870" w:type="dxa"/>
          </w:tcPr>
          <w:p w14:paraId="3D98D8C2" w14:textId="77777777" w:rsidR="00EE6F4D" w:rsidRPr="005866FD" w:rsidRDefault="00EE6F4D" w:rsidP="00997042">
            <w:pPr>
              <w:jc w:val="center"/>
              <w:rPr>
                <w:rFonts w:ascii="Times New Roman" w:eastAsiaTheme="minorEastAsia" w:hAnsi="Times New Roman" w:cs="Times New Roman"/>
                <w:sz w:val="24"/>
                <w:szCs w:val="24"/>
              </w:rPr>
            </w:pPr>
          </w:p>
        </w:tc>
      </w:tr>
      <w:tr w:rsidR="00EE6F4D" w:rsidRPr="005866FD" w14:paraId="716AA474" w14:textId="77777777" w:rsidTr="00997042">
        <w:tc>
          <w:tcPr>
            <w:tcW w:w="1870" w:type="dxa"/>
          </w:tcPr>
          <w:p w14:paraId="0E6AEDE3" w14:textId="77777777" w:rsidR="00EE6F4D" w:rsidRPr="005866FD" w:rsidRDefault="00EE6F4D" w:rsidP="00EE6F4D">
            <w:pP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Eminent Domain</w:t>
            </w:r>
          </w:p>
        </w:tc>
        <w:tc>
          <w:tcPr>
            <w:tcW w:w="1870" w:type="dxa"/>
          </w:tcPr>
          <w:p w14:paraId="3734CF85" w14:textId="77777777" w:rsidR="00EE6F4D" w:rsidRPr="005866FD" w:rsidRDefault="00EE6F4D" w:rsidP="00EE6F4D">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-3.11</w:t>
            </w:r>
            <w:r w:rsidRPr="005866FD">
              <w:rPr>
                <w:rFonts w:ascii="Times New Roman" w:eastAsiaTheme="minorEastAsia" w:hAnsi="Times New Roman" w:cs="Times New Roman"/>
                <w:sz w:val="24"/>
                <w:szCs w:val="24"/>
                <w:vertAlign w:val="superscript"/>
              </w:rPr>
              <w:t>**</w:t>
            </w:r>
          </w:p>
        </w:tc>
        <w:tc>
          <w:tcPr>
            <w:tcW w:w="1870" w:type="dxa"/>
          </w:tcPr>
          <w:p w14:paraId="0009E1AF" w14:textId="77777777" w:rsidR="00EE6F4D" w:rsidRPr="005866FD" w:rsidRDefault="00EE6F4D" w:rsidP="00EE6F4D">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-0.68</w:t>
            </w:r>
          </w:p>
        </w:tc>
        <w:tc>
          <w:tcPr>
            <w:tcW w:w="1870" w:type="dxa"/>
          </w:tcPr>
          <w:p w14:paraId="1623AB2D" w14:textId="77777777" w:rsidR="00EE6F4D" w:rsidRPr="005866FD" w:rsidRDefault="00EE6F4D" w:rsidP="00EE6F4D">
            <w:pPr>
              <w:jc w:val="center"/>
              <w:rPr>
                <w:rFonts w:ascii="Times New Roman" w:eastAsiaTheme="minorEastAsia" w:hAnsi="Times New Roman" w:cs="Times New Roman"/>
                <w:sz w:val="24"/>
                <w:szCs w:val="24"/>
              </w:rPr>
            </w:pPr>
          </w:p>
        </w:tc>
      </w:tr>
      <w:tr w:rsidR="00EE6F4D" w:rsidRPr="005866FD" w14:paraId="19F54962" w14:textId="77777777" w:rsidTr="00AC7E25">
        <w:tc>
          <w:tcPr>
            <w:tcW w:w="7480" w:type="dxa"/>
            <w:gridSpan w:val="4"/>
            <w:tcBorders>
              <w:top w:val="single" w:sz="4" w:space="0" w:color="000000"/>
              <w:bottom w:val="thickThinSmallGap" w:sz="12" w:space="0" w:color="000000"/>
            </w:tcBorders>
          </w:tcPr>
          <w:p w14:paraId="2333EC19" w14:textId="77777777" w:rsidR="00EE6F4D" w:rsidRPr="005866FD" w:rsidRDefault="00EE6F4D" w:rsidP="00EE6F4D">
            <w:pP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 Significant at 5%, ** Significant at 1%, *** Significant at 0.1%</w:t>
            </w:r>
          </w:p>
        </w:tc>
      </w:tr>
    </w:tbl>
    <w:p w14:paraId="720D0752" w14:textId="77777777" w:rsidR="00D5773A" w:rsidRPr="005866FD" w:rsidRDefault="00D5773A" w:rsidP="00D5773A">
      <w:pPr>
        <w:rPr>
          <w:rFonts w:ascii="Times New Roman" w:eastAsiaTheme="minorEastAsia" w:hAnsi="Times New Roman" w:cs="Times New Roman"/>
          <w:sz w:val="24"/>
          <w:szCs w:val="24"/>
        </w:rPr>
      </w:pPr>
    </w:p>
    <w:p w14:paraId="78DEC301" w14:textId="77777777" w:rsidR="00D5773A" w:rsidRPr="005866FD" w:rsidRDefault="00D5773A" w:rsidP="00D5773A">
      <w:pP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 xml:space="preserve">Table </w:t>
      </w:r>
      <w:r w:rsidR="002F3F8A">
        <w:rPr>
          <w:rFonts w:ascii="Times New Roman" w:eastAsiaTheme="minorEastAsia" w:hAnsi="Times New Roman" w:cs="Times New Roman"/>
          <w:sz w:val="24"/>
          <w:szCs w:val="24"/>
        </w:rPr>
        <w:t>6</w:t>
      </w:r>
      <w:r w:rsidRPr="005866FD">
        <w:rPr>
          <w:rFonts w:ascii="Times New Roman" w:eastAsiaTheme="minorEastAsia" w:hAnsi="Times New Roman" w:cs="Times New Roman"/>
          <w:sz w:val="24"/>
          <w:szCs w:val="24"/>
        </w:rPr>
        <w:t xml:space="preserve">. </w:t>
      </w:r>
      <w:r w:rsidR="00C238A5" w:rsidRPr="005866FD">
        <w:rPr>
          <w:rFonts w:ascii="Times New Roman" w:eastAsiaTheme="minorEastAsia" w:hAnsi="Times New Roman" w:cs="Times New Roman"/>
          <w:sz w:val="24"/>
          <w:szCs w:val="24"/>
        </w:rPr>
        <w:t xml:space="preserve">The loss from delay in the </w:t>
      </w:r>
      <w:r w:rsidR="00C238A5" w:rsidRPr="005866FD">
        <w:rPr>
          <w:rFonts w:ascii="Times New Roman" w:eastAsiaTheme="minorEastAsia" w:hAnsi="Times New Roman" w:cs="Times New Roman"/>
          <w:i/>
          <w:sz w:val="24"/>
          <w:szCs w:val="24"/>
        </w:rPr>
        <w:t>Baseline</w:t>
      </w:r>
      <w:r w:rsidR="00C238A5" w:rsidRPr="005866FD">
        <w:rPr>
          <w:rFonts w:ascii="Times New Roman" w:eastAsiaTheme="minorEastAsia" w:hAnsi="Times New Roman" w:cs="Times New Roman"/>
          <w:sz w:val="24"/>
          <w:szCs w:val="24"/>
        </w:rPr>
        <w:t xml:space="preserve"> Treatment is similar to the loss from contest spending in the </w:t>
      </w:r>
      <w:r w:rsidR="00C238A5" w:rsidRPr="005866FD">
        <w:rPr>
          <w:rFonts w:ascii="Times New Roman" w:eastAsiaTheme="minorEastAsia" w:hAnsi="Times New Roman" w:cs="Times New Roman"/>
          <w:i/>
          <w:sz w:val="24"/>
          <w:szCs w:val="24"/>
        </w:rPr>
        <w:t>Contest</w:t>
      </w:r>
      <w:r w:rsidR="00C238A5" w:rsidRPr="005866FD">
        <w:rPr>
          <w:rFonts w:ascii="Times New Roman" w:eastAsiaTheme="minorEastAsia" w:hAnsi="Times New Roman" w:cs="Times New Roman"/>
          <w:sz w:val="24"/>
          <w:szCs w:val="24"/>
        </w:rPr>
        <w:t xml:space="preserve"> Treatment </w:t>
      </w:r>
    </w:p>
    <w:tbl>
      <w:tblPr>
        <w:tblStyle w:val="TableGrid"/>
        <w:tblW w:w="8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3"/>
        <w:gridCol w:w="1163"/>
        <w:gridCol w:w="1536"/>
        <w:gridCol w:w="1983"/>
      </w:tblGrid>
      <w:tr w:rsidR="00EE6F4D" w:rsidRPr="005866FD" w14:paraId="54C41A2E" w14:textId="77777777" w:rsidTr="00EE6F4D">
        <w:tc>
          <w:tcPr>
            <w:tcW w:w="4183" w:type="dxa"/>
            <w:tcBorders>
              <w:top w:val="thinThickSmallGap" w:sz="12" w:space="0" w:color="000000"/>
              <w:bottom w:val="single" w:sz="4" w:space="0" w:color="000000"/>
            </w:tcBorders>
          </w:tcPr>
          <w:p w14:paraId="14EC0510" w14:textId="77777777" w:rsidR="00EE6F4D" w:rsidRPr="005866FD" w:rsidRDefault="00EE6F4D" w:rsidP="00997042">
            <w:pPr>
              <w:rPr>
                <w:rFonts w:ascii="Times New Roman" w:eastAsiaTheme="minorEastAsia" w:hAnsi="Times New Roman" w:cs="Times New Roman"/>
                <w:sz w:val="24"/>
                <w:szCs w:val="24"/>
              </w:rPr>
            </w:pPr>
          </w:p>
        </w:tc>
        <w:tc>
          <w:tcPr>
            <w:tcW w:w="1163" w:type="dxa"/>
            <w:tcBorders>
              <w:top w:val="thinThickSmallGap" w:sz="12" w:space="0" w:color="000000"/>
              <w:bottom w:val="single" w:sz="4" w:space="0" w:color="000000"/>
            </w:tcBorders>
          </w:tcPr>
          <w:p w14:paraId="3D8AE87E" w14:textId="77777777" w:rsidR="00EE6F4D" w:rsidRPr="005866FD" w:rsidRDefault="00EE6F4D"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Baseline</w:t>
            </w:r>
          </w:p>
        </w:tc>
        <w:tc>
          <w:tcPr>
            <w:tcW w:w="1536" w:type="dxa"/>
            <w:tcBorders>
              <w:top w:val="thinThickSmallGap" w:sz="12" w:space="0" w:color="000000"/>
              <w:bottom w:val="single" w:sz="4" w:space="0" w:color="000000"/>
            </w:tcBorders>
          </w:tcPr>
          <w:p w14:paraId="1505EDA9" w14:textId="77777777" w:rsidR="00EE6F4D" w:rsidRPr="005866FD" w:rsidRDefault="00EE6F4D"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Competition</w:t>
            </w:r>
          </w:p>
        </w:tc>
        <w:tc>
          <w:tcPr>
            <w:tcW w:w="1983" w:type="dxa"/>
            <w:tcBorders>
              <w:top w:val="thinThickSmallGap" w:sz="12" w:space="0" w:color="000000"/>
              <w:bottom w:val="single" w:sz="4" w:space="0" w:color="000000"/>
            </w:tcBorders>
          </w:tcPr>
          <w:p w14:paraId="1F7B359A" w14:textId="77777777" w:rsidR="00EE6F4D" w:rsidRPr="005866FD" w:rsidRDefault="00EE6F4D" w:rsidP="00997042">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Eminent Domain</w:t>
            </w:r>
          </w:p>
        </w:tc>
      </w:tr>
      <w:tr w:rsidR="00EE6F4D" w:rsidRPr="005866FD" w14:paraId="7C8D7A1C" w14:textId="77777777" w:rsidTr="00EE6F4D">
        <w:tc>
          <w:tcPr>
            <w:tcW w:w="4183" w:type="dxa"/>
            <w:tcBorders>
              <w:top w:val="single" w:sz="4" w:space="0" w:color="000000"/>
            </w:tcBorders>
          </w:tcPr>
          <w:p w14:paraId="022D2A43" w14:textId="77777777" w:rsidR="00EE6F4D" w:rsidRPr="005866FD" w:rsidRDefault="00EE6F4D" w:rsidP="00EE6F4D">
            <w:pP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Points Available</w:t>
            </w:r>
          </w:p>
        </w:tc>
        <w:tc>
          <w:tcPr>
            <w:tcW w:w="1163" w:type="dxa"/>
            <w:tcBorders>
              <w:top w:val="single" w:sz="4" w:space="0" w:color="000000"/>
            </w:tcBorders>
          </w:tcPr>
          <w:p w14:paraId="19BAEDC3" w14:textId="77777777" w:rsidR="00EE6F4D" w:rsidRPr="005866FD" w:rsidRDefault="00EE6F4D" w:rsidP="00EE6F4D">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8,254</w:t>
            </w:r>
          </w:p>
        </w:tc>
        <w:tc>
          <w:tcPr>
            <w:tcW w:w="1536" w:type="dxa"/>
            <w:tcBorders>
              <w:top w:val="single" w:sz="4" w:space="0" w:color="000000"/>
            </w:tcBorders>
          </w:tcPr>
          <w:p w14:paraId="334005C5" w14:textId="77777777" w:rsidR="00EE6F4D" w:rsidRPr="005866FD" w:rsidRDefault="00EE6F4D" w:rsidP="00EE6F4D">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13,816</w:t>
            </w:r>
          </w:p>
        </w:tc>
        <w:tc>
          <w:tcPr>
            <w:tcW w:w="1983" w:type="dxa"/>
            <w:tcBorders>
              <w:top w:val="single" w:sz="4" w:space="0" w:color="000000"/>
            </w:tcBorders>
          </w:tcPr>
          <w:p w14:paraId="3A2A1C53" w14:textId="77777777" w:rsidR="00EE6F4D" w:rsidRPr="005866FD" w:rsidRDefault="00EE6F4D" w:rsidP="00EE6F4D">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8,370</w:t>
            </w:r>
          </w:p>
        </w:tc>
      </w:tr>
      <w:tr w:rsidR="00EE6F4D" w:rsidRPr="005866FD" w14:paraId="1CE86834" w14:textId="77777777" w:rsidTr="00EE6F4D">
        <w:tc>
          <w:tcPr>
            <w:tcW w:w="4183" w:type="dxa"/>
          </w:tcPr>
          <w:p w14:paraId="5A927BD5" w14:textId="77777777" w:rsidR="00EE6F4D" w:rsidRPr="005866FD" w:rsidRDefault="00EE6F4D" w:rsidP="00EE6F4D">
            <w:pP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Points Achieved</w:t>
            </w:r>
          </w:p>
        </w:tc>
        <w:tc>
          <w:tcPr>
            <w:tcW w:w="1163" w:type="dxa"/>
          </w:tcPr>
          <w:p w14:paraId="40A5775D" w14:textId="77777777" w:rsidR="00EE6F4D" w:rsidRPr="005866FD" w:rsidRDefault="00EE6F4D" w:rsidP="00EE6F4D">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6,756</w:t>
            </w:r>
          </w:p>
          <w:p w14:paraId="26E11496" w14:textId="77777777" w:rsidR="00EE6F4D" w:rsidRPr="005866FD" w:rsidRDefault="00EE6F4D" w:rsidP="00EE6F4D">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(81.9%)</w:t>
            </w:r>
          </w:p>
        </w:tc>
        <w:tc>
          <w:tcPr>
            <w:tcW w:w="1536" w:type="dxa"/>
          </w:tcPr>
          <w:p w14:paraId="23DF8441" w14:textId="77777777" w:rsidR="00EE6F4D" w:rsidRPr="005866FD" w:rsidRDefault="00EE6F4D" w:rsidP="00EE6F4D">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12,227</w:t>
            </w:r>
          </w:p>
          <w:p w14:paraId="50E16936" w14:textId="77777777" w:rsidR="00EE6F4D" w:rsidRPr="005866FD" w:rsidRDefault="00EE6F4D" w:rsidP="00EE6F4D">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(88.5%)</w:t>
            </w:r>
          </w:p>
        </w:tc>
        <w:tc>
          <w:tcPr>
            <w:tcW w:w="1983" w:type="dxa"/>
          </w:tcPr>
          <w:p w14:paraId="728E0DE9" w14:textId="77777777" w:rsidR="00EE6F4D" w:rsidRPr="005866FD" w:rsidRDefault="00EE6F4D" w:rsidP="00EE6F4D">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6,815</w:t>
            </w:r>
          </w:p>
          <w:p w14:paraId="4EB8A6EB" w14:textId="77777777" w:rsidR="00EE6F4D" w:rsidRPr="005866FD" w:rsidRDefault="00EE6F4D" w:rsidP="00EE6F4D">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(81.4%)</w:t>
            </w:r>
          </w:p>
        </w:tc>
      </w:tr>
      <w:tr w:rsidR="00EE6F4D" w:rsidRPr="005866FD" w14:paraId="3F223D67" w14:textId="77777777" w:rsidTr="00EE6F4D">
        <w:tc>
          <w:tcPr>
            <w:tcW w:w="4183" w:type="dxa"/>
          </w:tcPr>
          <w:p w14:paraId="1AF25CC6" w14:textId="77777777" w:rsidR="00EE6F4D" w:rsidRPr="005866FD" w:rsidRDefault="00EE6F4D" w:rsidP="00EE6F4D">
            <w:pPr>
              <w:rPr>
                <w:rFonts w:ascii="Times New Roman" w:eastAsiaTheme="minorEastAsia" w:hAnsi="Times New Roman" w:cs="Times New Roman"/>
                <w:b/>
                <w:sz w:val="24"/>
                <w:szCs w:val="24"/>
              </w:rPr>
            </w:pPr>
            <w:r w:rsidRPr="005866FD">
              <w:rPr>
                <w:rFonts w:ascii="Times New Roman" w:eastAsiaTheme="minorEastAsia" w:hAnsi="Times New Roman" w:cs="Times New Roman"/>
                <w:b/>
                <w:sz w:val="24"/>
                <w:szCs w:val="24"/>
              </w:rPr>
              <w:t>Loss from delay</w:t>
            </w:r>
          </w:p>
        </w:tc>
        <w:tc>
          <w:tcPr>
            <w:tcW w:w="1163" w:type="dxa"/>
          </w:tcPr>
          <w:p w14:paraId="5EDDCF26" w14:textId="77777777" w:rsidR="00EE6F4D" w:rsidRPr="005866FD" w:rsidRDefault="00EE6F4D" w:rsidP="00EE6F4D">
            <w:pPr>
              <w:jc w:val="center"/>
              <w:rPr>
                <w:rFonts w:ascii="Times New Roman" w:eastAsiaTheme="minorEastAsia" w:hAnsi="Times New Roman" w:cs="Times New Roman"/>
                <w:b/>
                <w:sz w:val="24"/>
                <w:szCs w:val="24"/>
              </w:rPr>
            </w:pPr>
            <w:r w:rsidRPr="005866FD">
              <w:rPr>
                <w:rFonts w:ascii="Times New Roman" w:eastAsiaTheme="minorEastAsia" w:hAnsi="Times New Roman" w:cs="Times New Roman"/>
                <w:b/>
                <w:sz w:val="24"/>
                <w:szCs w:val="24"/>
              </w:rPr>
              <w:t>1,237</w:t>
            </w:r>
          </w:p>
          <w:p w14:paraId="7E60DFFC" w14:textId="77777777" w:rsidR="00EE6F4D" w:rsidRPr="005866FD" w:rsidRDefault="00EE6F4D" w:rsidP="00EE6F4D">
            <w:pPr>
              <w:jc w:val="center"/>
              <w:rPr>
                <w:rFonts w:ascii="Times New Roman" w:eastAsiaTheme="minorEastAsia" w:hAnsi="Times New Roman" w:cs="Times New Roman"/>
                <w:b/>
                <w:sz w:val="24"/>
                <w:szCs w:val="24"/>
              </w:rPr>
            </w:pPr>
            <w:r w:rsidRPr="005866FD">
              <w:rPr>
                <w:rFonts w:ascii="Times New Roman" w:eastAsiaTheme="minorEastAsia" w:hAnsi="Times New Roman" w:cs="Times New Roman"/>
                <w:b/>
                <w:sz w:val="24"/>
                <w:szCs w:val="24"/>
              </w:rPr>
              <w:t>(15.0%)</w:t>
            </w:r>
          </w:p>
        </w:tc>
        <w:tc>
          <w:tcPr>
            <w:tcW w:w="1536" w:type="dxa"/>
          </w:tcPr>
          <w:p w14:paraId="657DB810" w14:textId="77777777" w:rsidR="00EE6F4D" w:rsidRPr="005866FD" w:rsidRDefault="00EE6F4D" w:rsidP="00EE6F4D">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1,114</w:t>
            </w:r>
          </w:p>
          <w:p w14:paraId="230B1ED9" w14:textId="77777777" w:rsidR="00EE6F4D" w:rsidRPr="005866FD" w:rsidRDefault="00EE6F4D" w:rsidP="00EE6F4D">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(8.1%)</w:t>
            </w:r>
          </w:p>
        </w:tc>
        <w:tc>
          <w:tcPr>
            <w:tcW w:w="1983" w:type="dxa"/>
          </w:tcPr>
          <w:p w14:paraId="7CAB26EC" w14:textId="77777777" w:rsidR="00EE6F4D" w:rsidRPr="005866FD" w:rsidRDefault="00EE6F4D" w:rsidP="00EE6F4D">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157</w:t>
            </w:r>
          </w:p>
          <w:p w14:paraId="4D011F80" w14:textId="77777777" w:rsidR="00EE6F4D" w:rsidRPr="005866FD" w:rsidRDefault="00EE6F4D" w:rsidP="00EE6F4D">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(1.9%)</w:t>
            </w:r>
          </w:p>
        </w:tc>
      </w:tr>
      <w:tr w:rsidR="00EE6F4D" w:rsidRPr="005866FD" w14:paraId="0D71C5FF" w14:textId="77777777" w:rsidTr="00EE6F4D">
        <w:tc>
          <w:tcPr>
            <w:tcW w:w="4183" w:type="dxa"/>
          </w:tcPr>
          <w:p w14:paraId="1F9A7256" w14:textId="77777777" w:rsidR="00EE6F4D" w:rsidRPr="005866FD" w:rsidRDefault="00EE6F4D" w:rsidP="00EE6F4D">
            <w:pP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Loss from failed assembly</w:t>
            </w:r>
          </w:p>
        </w:tc>
        <w:tc>
          <w:tcPr>
            <w:tcW w:w="1163" w:type="dxa"/>
          </w:tcPr>
          <w:p w14:paraId="0320FF86" w14:textId="77777777" w:rsidR="00EE6F4D" w:rsidRPr="005866FD" w:rsidRDefault="00EE6F4D" w:rsidP="00EE6F4D">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225</w:t>
            </w:r>
          </w:p>
          <w:p w14:paraId="23F76696" w14:textId="77777777" w:rsidR="00EE6F4D" w:rsidRPr="005866FD" w:rsidRDefault="00EE6F4D" w:rsidP="00EE6F4D">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(2.7%)</w:t>
            </w:r>
          </w:p>
        </w:tc>
        <w:tc>
          <w:tcPr>
            <w:tcW w:w="1536" w:type="dxa"/>
          </w:tcPr>
          <w:p w14:paraId="65275718" w14:textId="77777777" w:rsidR="00EE6F4D" w:rsidRPr="005866FD" w:rsidRDefault="00EE6F4D" w:rsidP="00EE6F4D">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2</w:t>
            </w:r>
          </w:p>
          <w:p w14:paraId="314512F4" w14:textId="77777777" w:rsidR="00EE6F4D" w:rsidRPr="005866FD" w:rsidRDefault="00EE6F4D" w:rsidP="00EE6F4D">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(0.0%)</w:t>
            </w:r>
          </w:p>
        </w:tc>
        <w:tc>
          <w:tcPr>
            <w:tcW w:w="1983" w:type="dxa"/>
          </w:tcPr>
          <w:p w14:paraId="41F4EF4F" w14:textId="77777777" w:rsidR="00EE6F4D" w:rsidRPr="005866FD" w:rsidRDefault="00EE6F4D" w:rsidP="00EE6F4D">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0</w:t>
            </w:r>
          </w:p>
          <w:p w14:paraId="6C8D8D47" w14:textId="77777777" w:rsidR="00EE6F4D" w:rsidRPr="005866FD" w:rsidRDefault="00EE6F4D" w:rsidP="00EE6F4D">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(0.0%)</w:t>
            </w:r>
          </w:p>
        </w:tc>
      </w:tr>
      <w:tr w:rsidR="00EE6F4D" w:rsidRPr="005866FD" w14:paraId="61A3BEC0" w14:textId="77777777" w:rsidTr="00EE6F4D">
        <w:tc>
          <w:tcPr>
            <w:tcW w:w="4183" w:type="dxa"/>
          </w:tcPr>
          <w:p w14:paraId="60C57C03" w14:textId="77777777" w:rsidR="00EE6F4D" w:rsidRPr="005866FD" w:rsidRDefault="00EE6F4D" w:rsidP="00EE6F4D">
            <w:pP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Loss from inefficient assembly</w:t>
            </w:r>
          </w:p>
        </w:tc>
        <w:tc>
          <w:tcPr>
            <w:tcW w:w="1163" w:type="dxa"/>
          </w:tcPr>
          <w:p w14:paraId="133357A8" w14:textId="77777777" w:rsidR="00EE6F4D" w:rsidRPr="005866FD" w:rsidRDefault="00EE6F4D" w:rsidP="00EE6F4D">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36</w:t>
            </w:r>
          </w:p>
          <w:p w14:paraId="33B69655" w14:textId="77777777" w:rsidR="00EE6F4D" w:rsidRPr="005866FD" w:rsidRDefault="00EE6F4D" w:rsidP="00EE6F4D">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(0.4%)</w:t>
            </w:r>
          </w:p>
        </w:tc>
        <w:tc>
          <w:tcPr>
            <w:tcW w:w="1536" w:type="dxa"/>
          </w:tcPr>
          <w:p w14:paraId="7EB20D99" w14:textId="77777777" w:rsidR="00EE6F4D" w:rsidRPr="005866FD" w:rsidRDefault="00EE6F4D" w:rsidP="00EE6F4D">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169</w:t>
            </w:r>
          </w:p>
          <w:p w14:paraId="0FC094CE" w14:textId="77777777" w:rsidR="00EE6F4D" w:rsidRPr="005866FD" w:rsidRDefault="00EE6F4D" w:rsidP="00EE6F4D">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(1.2%)</w:t>
            </w:r>
          </w:p>
        </w:tc>
        <w:tc>
          <w:tcPr>
            <w:tcW w:w="1983" w:type="dxa"/>
          </w:tcPr>
          <w:p w14:paraId="6A195DCD" w14:textId="77777777" w:rsidR="00EE6F4D" w:rsidRPr="005866FD" w:rsidRDefault="00EE6F4D" w:rsidP="00EE6F4D">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249</w:t>
            </w:r>
          </w:p>
          <w:p w14:paraId="6A307FCD" w14:textId="77777777" w:rsidR="00EE6F4D" w:rsidRPr="005866FD" w:rsidRDefault="00EE6F4D" w:rsidP="00EE6F4D">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(3.0%)</w:t>
            </w:r>
          </w:p>
        </w:tc>
      </w:tr>
      <w:tr w:rsidR="00EE6F4D" w:rsidRPr="005866FD" w14:paraId="1B77042D" w14:textId="77777777" w:rsidTr="00EE6F4D">
        <w:tc>
          <w:tcPr>
            <w:tcW w:w="4183" w:type="dxa"/>
          </w:tcPr>
          <w:p w14:paraId="61D9BF70" w14:textId="77777777" w:rsidR="00EE6F4D" w:rsidRPr="005866FD" w:rsidRDefault="00EE6F4D" w:rsidP="00EE6F4D">
            <w:pP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Opportunity cost of inefficient assembly</w:t>
            </w:r>
          </w:p>
        </w:tc>
        <w:tc>
          <w:tcPr>
            <w:tcW w:w="1163" w:type="dxa"/>
          </w:tcPr>
          <w:p w14:paraId="799216E8" w14:textId="77777777" w:rsidR="00EE6F4D" w:rsidRPr="005866FD" w:rsidRDefault="00EE6F4D" w:rsidP="00EE6F4D">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w:t>
            </w:r>
          </w:p>
        </w:tc>
        <w:tc>
          <w:tcPr>
            <w:tcW w:w="1536" w:type="dxa"/>
          </w:tcPr>
          <w:p w14:paraId="7485BFB5" w14:textId="77777777" w:rsidR="00EE6F4D" w:rsidRPr="005866FD" w:rsidRDefault="00EE6F4D" w:rsidP="00EE6F4D">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304</w:t>
            </w:r>
          </w:p>
          <w:p w14:paraId="4A1885A7" w14:textId="77777777" w:rsidR="00EE6F4D" w:rsidRPr="005866FD" w:rsidRDefault="00EE6F4D" w:rsidP="00EE6F4D">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(2.2%)</w:t>
            </w:r>
          </w:p>
        </w:tc>
        <w:tc>
          <w:tcPr>
            <w:tcW w:w="1983" w:type="dxa"/>
          </w:tcPr>
          <w:p w14:paraId="29CC3E19" w14:textId="77777777" w:rsidR="00EE6F4D" w:rsidRPr="005866FD" w:rsidRDefault="00EE6F4D" w:rsidP="00EE6F4D">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w:t>
            </w:r>
          </w:p>
        </w:tc>
      </w:tr>
      <w:tr w:rsidR="00EE6F4D" w:rsidRPr="005866FD" w14:paraId="2040D627" w14:textId="77777777" w:rsidTr="00EE6F4D">
        <w:tc>
          <w:tcPr>
            <w:tcW w:w="4183" w:type="dxa"/>
          </w:tcPr>
          <w:p w14:paraId="3FE7E393" w14:textId="77777777" w:rsidR="00EE6F4D" w:rsidRPr="005866FD" w:rsidRDefault="00EE6F4D" w:rsidP="00EE6F4D">
            <w:pPr>
              <w:rPr>
                <w:rFonts w:ascii="Times New Roman" w:eastAsiaTheme="minorEastAsia" w:hAnsi="Times New Roman" w:cs="Times New Roman"/>
                <w:b/>
                <w:sz w:val="24"/>
                <w:szCs w:val="24"/>
              </w:rPr>
            </w:pPr>
            <w:r w:rsidRPr="005866FD">
              <w:rPr>
                <w:rFonts w:ascii="Times New Roman" w:eastAsiaTheme="minorEastAsia" w:hAnsi="Times New Roman" w:cs="Times New Roman"/>
                <w:b/>
                <w:sz w:val="24"/>
                <w:szCs w:val="24"/>
              </w:rPr>
              <w:t>Loss from contest spending</w:t>
            </w:r>
          </w:p>
        </w:tc>
        <w:tc>
          <w:tcPr>
            <w:tcW w:w="1163" w:type="dxa"/>
          </w:tcPr>
          <w:p w14:paraId="3E126534" w14:textId="77777777" w:rsidR="00EE6F4D" w:rsidRPr="005866FD" w:rsidRDefault="00EE6F4D" w:rsidP="00EE6F4D">
            <w:pPr>
              <w:jc w:val="center"/>
              <w:rPr>
                <w:rFonts w:ascii="Times New Roman" w:eastAsiaTheme="minorEastAsia" w:hAnsi="Times New Roman" w:cs="Times New Roman"/>
                <w:b/>
                <w:sz w:val="24"/>
                <w:szCs w:val="24"/>
              </w:rPr>
            </w:pPr>
            <w:r w:rsidRPr="005866FD">
              <w:rPr>
                <w:rFonts w:ascii="Times New Roman" w:eastAsiaTheme="minorEastAsia" w:hAnsi="Times New Roman" w:cs="Times New Roman"/>
                <w:b/>
                <w:sz w:val="24"/>
                <w:szCs w:val="24"/>
              </w:rPr>
              <w:t>--</w:t>
            </w:r>
          </w:p>
        </w:tc>
        <w:tc>
          <w:tcPr>
            <w:tcW w:w="1536" w:type="dxa"/>
          </w:tcPr>
          <w:p w14:paraId="62C15DD2" w14:textId="77777777" w:rsidR="00EE6F4D" w:rsidRPr="005866FD" w:rsidRDefault="00EE6F4D" w:rsidP="00EE6F4D">
            <w:pPr>
              <w:jc w:val="center"/>
              <w:rPr>
                <w:rFonts w:ascii="Times New Roman" w:eastAsiaTheme="minorEastAsia" w:hAnsi="Times New Roman" w:cs="Times New Roman"/>
                <w:b/>
                <w:sz w:val="24"/>
                <w:szCs w:val="24"/>
              </w:rPr>
            </w:pPr>
            <w:r w:rsidRPr="005866FD">
              <w:rPr>
                <w:rFonts w:ascii="Times New Roman" w:eastAsiaTheme="minorEastAsia" w:hAnsi="Times New Roman" w:cs="Times New Roman"/>
                <w:b/>
                <w:sz w:val="24"/>
                <w:szCs w:val="24"/>
              </w:rPr>
              <w:t>--</w:t>
            </w:r>
          </w:p>
        </w:tc>
        <w:tc>
          <w:tcPr>
            <w:tcW w:w="1983" w:type="dxa"/>
          </w:tcPr>
          <w:p w14:paraId="2F392AA4" w14:textId="77777777" w:rsidR="00EE6F4D" w:rsidRPr="005866FD" w:rsidRDefault="00EE6F4D" w:rsidP="00EE6F4D">
            <w:pPr>
              <w:jc w:val="center"/>
              <w:rPr>
                <w:rFonts w:ascii="Times New Roman" w:eastAsiaTheme="minorEastAsia" w:hAnsi="Times New Roman" w:cs="Times New Roman"/>
                <w:b/>
                <w:sz w:val="24"/>
                <w:szCs w:val="24"/>
              </w:rPr>
            </w:pPr>
            <w:r w:rsidRPr="005866FD">
              <w:rPr>
                <w:rFonts w:ascii="Times New Roman" w:eastAsiaTheme="minorEastAsia" w:hAnsi="Times New Roman" w:cs="Times New Roman"/>
                <w:b/>
                <w:sz w:val="24"/>
                <w:szCs w:val="24"/>
              </w:rPr>
              <w:t>1,149</w:t>
            </w:r>
          </w:p>
          <w:p w14:paraId="3F2597E4" w14:textId="77777777" w:rsidR="00EE6F4D" w:rsidRPr="005866FD" w:rsidRDefault="00EE6F4D" w:rsidP="00EE6F4D">
            <w:pPr>
              <w:jc w:val="center"/>
              <w:rPr>
                <w:rFonts w:ascii="Times New Roman" w:eastAsiaTheme="minorEastAsia" w:hAnsi="Times New Roman" w:cs="Times New Roman"/>
                <w:b/>
                <w:sz w:val="24"/>
                <w:szCs w:val="24"/>
              </w:rPr>
            </w:pPr>
            <w:r w:rsidRPr="005866FD">
              <w:rPr>
                <w:rFonts w:ascii="Times New Roman" w:eastAsiaTheme="minorEastAsia" w:hAnsi="Times New Roman" w:cs="Times New Roman"/>
                <w:b/>
                <w:sz w:val="24"/>
                <w:szCs w:val="24"/>
              </w:rPr>
              <w:t>(13.7%)</w:t>
            </w:r>
          </w:p>
        </w:tc>
      </w:tr>
      <w:tr w:rsidR="00EE6F4D" w:rsidRPr="005866FD" w14:paraId="65B93C87" w14:textId="77777777" w:rsidTr="00EE6F4D">
        <w:tc>
          <w:tcPr>
            <w:tcW w:w="4183" w:type="dxa"/>
            <w:tcBorders>
              <w:bottom w:val="thickThinSmallGap" w:sz="12" w:space="0" w:color="000000"/>
            </w:tcBorders>
          </w:tcPr>
          <w:p w14:paraId="72646537" w14:textId="77777777" w:rsidR="00EE6F4D" w:rsidRPr="005866FD" w:rsidRDefault="00EE6F4D" w:rsidP="00EE6F4D">
            <w:pP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Total Loss</w:t>
            </w:r>
          </w:p>
        </w:tc>
        <w:tc>
          <w:tcPr>
            <w:tcW w:w="1163" w:type="dxa"/>
            <w:tcBorders>
              <w:bottom w:val="thickThinSmallGap" w:sz="12" w:space="0" w:color="000000"/>
            </w:tcBorders>
          </w:tcPr>
          <w:p w14:paraId="108BE106" w14:textId="77777777" w:rsidR="00EE6F4D" w:rsidRPr="005866FD" w:rsidRDefault="00EE6F4D" w:rsidP="00EE6F4D">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1,498</w:t>
            </w:r>
          </w:p>
          <w:p w14:paraId="61446856" w14:textId="77777777" w:rsidR="00EE6F4D" w:rsidRPr="005866FD" w:rsidRDefault="00EE6F4D" w:rsidP="00EE6F4D">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(18.1%)</w:t>
            </w:r>
          </w:p>
        </w:tc>
        <w:tc>
          <w:tcPr>
            <w:tcW w:w="1536" w:type="dxa"/>
            <w:tcBorders>
              <w:bottom w:val="thickThinSmallGap" w:sz="12" w:space="0" w:color="000000"/>
            </w:tcBorders>
          </w:tcPr>
          <w:p w14:paraId="18639E2F" w14:textId="77777777" w:rsidR="00EE6F4D" w:rsidRPr="005866FD" w:rsidRDefault="00EE6F4D" w:rsidP="00EE6F4D">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1,589</w:t>
            </w:r>
          </w:p>
          <w:p w14:paraId="40B83CFA" w14:textId="77777777" w:rsidR="00EE6F4D" w:rsidRPr="005866FD" w:rsidRDefault="00EE6F4D" w:rsidP="00EE6F4D">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(11.5%)</w:t>
            </w:r>
          </w:p>
        </w:tc>
        <w:tc>
          <w:tcPr>
            <w:tcW w:w="1983" w:type="dxa"/>
            <w:tcBorders>
              <w:bottom w:val="thickThinSmallGap" w:sz="12" w:space="0" w:color="000000"/>
            </w:tcBorders>
          </w:tcPr>
          <w:p w14:paraId="77081CBB" w14:textId="77777777" w:rsidR="00EE6F4D" w:rsidRPr="005866FD" w:rsidRDefault="00EE6F4D" w:rsidP="00EE6F4D">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1,555</w:t>
            </w:r>
          </w:p>
          <w:p w14:paraId="0D4330F1" w14:textId="77777777" w:rsidR="00EE6F4D" w:rsidRPr="005866FD" w:rsidRDefault="00EE6F4D" w:rsidP="00EE6F4D">
            <w:pPr>
              <w:jc w:val="cente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(18.6%)</w:t>
            </w:r>
          </w:p>
        </w:tc>
      </w:tr>
    </w:tbl>
    <w:p w14:paraId="0E5402FA" w14:textId="77777777" w:rsidR="00D5773A" w:rsidRPr="005866FD" w:rsidRDefault="00C238A5" w:rsidP="00D5773A">
      <w:pPr>
        <w:rPr>
          <w:rFonts w:ascii="Times New Roman" w:eastAsiaTheme="minorEastAsia" w:hAnsi="Times New Roman" w:cs="Times New Roman"/>
          <w:sz w:val="24"/>
          <w:szCs w:val="24"/>
        </w:rPr>
      </w:pPr>
      <w:r w:rsidRPr="005866FD">
        <w:rPr>
          <w:rFonts w:ascii="Times New Roman" w:eastAsiaTheme="minorEastAsia" w:hAnsi="Times New Roman" w:cs="Times New Roman"/>
          <w:i/>
          <w:sz w:val="24"/>
          <w:szCs w:val="24"/>
        </w:rPr>
        <w:t>Note:</w:t>
      </w:r>
      <w:r w:rsidRPr="005866FD">
        <w:rPr>
          <w:rFonts w:ascii="Times New Roman" w:eastAsiaTheme="minorEastAsia" w:hAnsi="Times New Roman" w:cs="Times New Roman"/>
          <w:sz w:val="24"/>
          <w:szCs w:val="24"/>
        </w:rPr>
        <w:t xml:space="preserve"> Key findings </w:t>
      </w:r>
      <w:r w:rsidRPr="005866FD">
        <w:rPr>
          <w:rFonts w:ascii="Times New Roman" w:eastAsiaTheme="minorEastAsia" w:hAnsi="Times New Roman" w:cs="Times New Roman"/>
          <w:b/>
          <w:sz w:val="24"/>
          <w:szCs w:val="24"/>
        </w:rPr>
        <w:t>bolded.</w:t>
      </w:r>
    </w:p>
    <w:p w14:paraId="4802F4EE" w14:textId="77777777" w:rsidR="00D5773A" w:rsidRPr="005866FD" w:rsidRDefault="00D5773A" w:rsidP="00D5773A">
      <w:pPr>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br w:type="page"/>
      </w:r>
    </w:p>
    <w:p w14:paraId="347B2C92" w14:textId="77777777" w:rsidR="00D5773A" w:rsidRPr="005866FD" w:rsidRDefault="00D5773A" w:rsidP="00D5773A">
      <w:pPr>
        <w:spacing w:line="480" w:lineRule="auto"/>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Figure 1. Buyers’ average first and final offers</w:t>
      </w:r>
    </w:p>
    <w:p w14:paraId="7469BC45" w14:textId="77777777" w:rsidR="00D5773A" w:rsidRPr="005866FD" w:rsidRDefault="00F172F7" w:rsidP="00D5773A">
      <w:pPr>
        <w:spacing w:line="480" w:lineRule="auto"/>
        <w:rPr>
          <w:rFonts w:ascii="Times New Roman" w:eastAsiaTheme="minorEastAsia" w:hAnsi="Times New Roman" w:cs="Times New Roman"/>
          <w:b/>
          <w:sz w:val="24"/>
          <w:szCs w:val="24"/>
        </w:rPr>
      </w:pPr>
      <w:r w:rsidRPr="00F172F7">
        <w:rPr>
          <w:noProof/>
        </w:rPr>
        <w:t xml:space="preserve"> </w:t>
      </w:r>
      <w:r w:rsidR="00B31E08">
        <w:rPr>
          <w:noProof/>
        </w:rPr>
        <w:drawing>
          <wp:inline distT="0" distB="0" distL="0" distR="0" wp14:anchorId="16D0F0FA" wp14:editId="68B96E13">
            <wp:extent cx="457200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pic:spPr>
                </pic:pic>
              </a:graphicData>
            </a:graphic>
          </wp:inline>
        </w:drawing>
      </w:r>
    </w:p>
    <w:p w14:paraId="17689E1A" w14:textId="77777777" w:rsidR="00D5773A" w:rsidRPr="005866FD" w:rsidRDefault="00D5773A" w:rsidP="00D5773A">
      <w:pPr>
        <w:spacing w:line="480" w:lineRule="auto"/>
        <w:rPr>
          <w:rFonts w:ascii="Times New Roman" w:eastAsiaTheme="minorEastAsia" w:hAnsi="Times New Roman" w:cs="Times New Roman"/>
          <w:sz w:val="24"/>
          <w:szCs w:val="24"/>
        </w:rPr>
      </w:pPr>
      <w:r w:rsidRPr="005866FD">
        <w:rPr>
          <w:rFonts w:ascii="Times New Roman" w:eastAsiaTheme="minorEastAsia" w:hAnsi="Times New Roman" w:cs="Times New Roman"/>
          <w:sz w:val="24"/>
          <w:szCs w:val="24"/>
        </w:rPr>
        <w:t>Figure 2. Difference between highest rejected offer and seller’s value</w:t>
      </w:r>
    </w:p>
    <w:p w14:paraId="238608D0" w14:textId="77777777" w:rsidR="00D5773A" w:rsidRPr="005866FD" w:rsidRDefault="00ED07E5" w:rsidP="00D5773A">
      <w:pPr>
        <w:spacing w:line="480" w:lineRule="auto"/>
        <w:rPr>
          <w:rFonts w:ascii="Times New Roman" w:eastAsiaTheme="minorEastAsia" w:hAnsi="Times New Roman" w:cs="Times New Roman"/>
          <w:b/>
          <w:sz w:val="24"/>
          <w:szCs w:val="24"/>
        </w:rPr>
      </w:pPr>
      <w:r w:rsidRPr="00ED07E5">
        <w:rPr>
          <w:noProof/>
        </w:rPr>
        <w:t xml:space="preserve"> </w:t>
      </w:r>
      <w:r w:rsidR="00B31E08">
        <w:rPr>
          <w:noProof/>
        </w:rPr>
        <w:drawing>
          <wp:inline distT="0" distB="0" distL="0" distR="0" wp14:anchorId="2CC0C524" wp14:editId="7A57C1AD">
            <wp:extent cx="4572000"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pic:spPr>
                </pic:pic>
              </a:graphicData>
            </a:graphic>
          </wp:inline>
        </w:drawing>
      </w:r>
    </w:p>
    <w:p w14:paraId="680CE455" w14:textId="77777777" w:rsidR="00B31E08" w:rsidRDefault="00B31E08">
      <w:pPr>
        <w:rPr>
          <w:rFonts w:ascii="Times New Roman" w:hAnsi="Times New Roman" w:cs="Times New Roman"/>
          <w:sz w:val="24"/>
          <w:szCs w:val="24"/>
        </w:rPr>
      </w:pPr>
    </w:p>
    <w:p w14:paraId="51A089BD" w14:textId="77777777" w:rsidR="008D574E" w:rsidRPr="005866FD" w:rsidRDefault="008D574E" w:rsidP="00D5773A">
      <w:pPr>
        <w:spacing w:line="480" w:lineRule="auto"/>
        <w:rPr>
          <w:rFonts w:ascii="Times New Roman" w:hAnsi="Times New Roman" w:cs="Times New Roman"/>
          <w:sz w:val="24"/>
          <w:szCs w:val="24"/>
        </w:rPr>
      </w:pPr>
    </w:p>
    <w:sectPr w:rsidR="008D574E" w:rsidRPr="005866FD" w:rsidSect="00E87B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C18D7" w14:textId="77777777" w:rsidR="00B86D11" w:rsidRDefault="00B86D11" w:rsidP="00E87B73">
      <w:pPr>
        <w:spacing w:after="0" w:line="240" w:lineRule="auto"/>
      </w:pPr>
      <w:r>
        <w:separator/>
      </w:r>
    </w:p>
  </w:endnote>
  <w:endnote w:type="continuationSeparator" w:id="0">
    <w:p w14:paraId="5AF3C288" w14:textId="77777777" w:rsidR="00B86D11" w:rsidRDefault="00B86D11" w:rsidP="00E87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FE24A" w14:textId="77777777" w:rsidR="007C5129" w:rsidRPr="006B3F47" w:rsidRDefault="007C5129">
    <w:pPr>
      <w:pStyle w:val="Footer"/>
      <w:tabs>
        <w:tab w:val="clear" w:pos="4680"/>
        <w:tab w:val="clear" w:pos="9360"/>
      </w:tabs>
      <w:jc w:val="center"/>
      <w:rPr>
        <w:rFonts w:ascii="Times New Roman" w:hAnsi="Times New Roman" w:cs="Times New Roman"/>
        <w:caps/>
        <w:noProof/>
      </w:rPr>
    </w:pPr>
    <w:r w:rsidRPr="006B3F47">
      <w:rPr>
        <w:rFonts w:ascii="Times New Roman" w:hAnsi="Times New Roman" w:cs="Times New Roman"/>
        <w:caps/>
      </w:rPr>
      <w:fldChar w:fldCharType="begin"/>
    </w:r>
    <w:r w:rsidRPr="006B3F47">
      <w:rPr>
        <w:rFonts w:ascii="Times New Roman" w:hAnsi="Times New Roman" w:cs="Times New Roman"/>
        <w:caps/>
      </w:rPr>
      <w:instrText xml:space="preserve"> PAGE   \* MERGEFORMAT </w:instrText>
    </w:r>
    <w:r w:rsidRPr="006B3F47">
      <w:rPr>
        <w:rFonts w:ascii="Times New Roman" w:hAnsi="Times New Roman" w:cs="Times New Roman"/>
        <w:caps/>
      </w:rPr>
      <w:fldChar w:fldCharType="separate"/>
    </w:r>
    <w:r w:rsidR="00F50392">
      <w:rPr>
        <w:rFonts w:ascii="Times New Roman" w:hAnsi="Times New Roman" w:cs="Times New Roman"/>
        <w:caps/>
        <w:noProof/>
      </w:rPr>
      <w:t>1</w:t>
    </w:r>
    <w:r w:rsidRPr="006B3F47">
      <w:rPr>
        <w:rFonts w:ascii="Times New Roman" w:hAnsi="Times New Roman" w:cs="Times New Roman"/>
        <w:caps/>
        <w:noProof/>
      </w:rPr>
      <w:fldChar w:fldCharType="end"/>
    </w:r>
  </w:p>
  <w:p w14:paraId="12392E64" w14:textId="77777777" w:rsidR="007C5129" w:rsidRDefault="007C51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089A0" w14:textId="77777777" w:rsidR="00B86D11" w:rsidRDefault="00B86D11" w:rsidP="00E87B73">
      <w:pPr>
        <w:spacing w:after="0" w:line="240" w:lineRule="auto"/>
      </w:pPr>
      <w:r>
        <w:separator/>
      </w:r>
    </w:p>
  </w:footnote>
  <w:footnote w:type="continuationSeparator" w:id="0">
    <w:p w14:paraId="5F26BCC7" w14:textId="77777777" w:rsidR="00B86D11" w:rsidRDefault="00B86D11" w:rsidP="00E87B73">
      <w:pPr>
        <w:spacing w:after="0" w:line="240" w:lineRule="auto"/>
      </w:pPr>
      <w:r>
        <w:continuationSeparator/>
      </w:r>
    </w:p>
  </w:footnote>
  <w:footnote w:id="1">
    <w:p w14:paraId="5451839F" w14:textId="77777777" w:rsidR="007C5129" w:rsidRPr="008C0DED" w:rsidRDefault="007C5129">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 xml:space="preserve">Abel Winn (corresponding author: winn@chapman.edu) is an assistant professor of managerial economics at Chapman University.  Matthew McCarter is an assistant professor of management at University of Texas at San Antonio.  This research was made possible by generous funding from the International Foundation of Research in Experimental Economics.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E63D9"/>
    <w:multiLevelType w:val="hybridMultilevel"/>
    <w:tmpl w:val="5212E7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E652D"/>
    <w:multiLevelType w:val="hybridMultilevel"/>
    <w:tmpl w:val="E5C43B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F1097F"/>
    <w:multiLevelType w:val="hybridMultilevel"/>
    <w:tmpl w:val="D736E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FE4620"/>
    <w:multiLevelType w:val="hybridMultilevel"/>
    <w:tmpl w:val="C43475E2"/>
    <w:lvl w:ilvl="0" w:tplc="FB5CB7E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1FE"/>
    <w:rsid w:val="0000220F"/>
    <w:rsid w:val="00003011"/>
    <w:rsid w:val="00005F17"/>
    <w:rsid w:val="00006284"/>
    <w:rsid w:val="0001400B"/>
    <w:rsid w:val="00020AFC"/>
    <w:rsid w:val="00027F3F"/>
    <w:rsid w:val="0003034C"/>
    <w:rsid w:val="0003454C"/>
    <w:rsid w:val="00035CF6"/>
    <w:rsid w:val="000503BC"/>
    <w:rsid w:val="00055C3A"/>
    <w:rsid w:val="000563E9"/>
    <w:rsid w:val="00063823"/>
    <w:rsid w:val="00067399"/>
    <w:rsid w:val="0007394F"/>
    <w:rsid w:val="00077055"/>
    <w:rsid w:val="0007729D"/>
    <w:rsid w:val="00077C4A"/>
    <w:rsid w:val="00090348"/>
    <w:rsid w:val="00093423"/>
    <w:rsid w:val="00096112"/>
    <w:rsid w:val="000A09E3"/>
    <w:rsid w:val="000A7A35"/>
    <w:rsid w:val="000B1B71"/>
    <w:rsid w:val="000B2930"/>
    <w:rsid w:val="000C1876"/>
    <w:rsid w:val="000C3DA1"/>
    <w:rsid w:val="000C7C0C"/>
    <w:rsid w:val="000D7BE1"/>
    <w:rsid w:val="000E3CB9"/>
    <w:rsid w:val="000F2196"/>
    <w:rsid w:val="000F2A20"/>
    <w:rsid w:val="000F48B0"/>
    <w:rsid w:val="000F56BC"/>
    <w:rsid w:val="001016CA"/>
    <w:rsid w:val="00102B54"/>
    <w:rsid w:val="00103CB7"/>
    <w:rsid w:val="001072BC"/>
    <w:rsid w:val="0010741C"/>
    <w:rsid w:val="00111F0D"/>
    <w:rsid w:val="00113917"/>
    <w:rsid w:val="001154C5"/>
    <w:rsid w:val="0011785B"/>
    <w:rsid w:val="001178BD"/>
    <w:rsid w:val="00124DEE"/>
    <w:rsid w:val="001332C9"/>
    <w:rsid w:val="00135FB3"/>
    <w:rsid w:val="00150862"/>
    <w:rsid w:val="00150984"/>
    <w:rsid w:val="00150F9A"/>
    <w:rsid w:val="0016762C"/>
    <w:rsid w:val="001730B1"/>
    <w:rsid w:val="00180DAC"/>
    <w:rsid w:val="0018248C"/>
    <w:rsid w:val="001854B3"/>
    <w:rsid w:val="00185822"/>
    <w:rsid w:val="00186F51"/>
    <w:rsid w:val="001A4FC1"/>
    <w:rsid w:val="001A6B83"/>
    <w:rsid w:val="001B1EA4"/>
    <w:rsid w:val="001B3657"/>
    <w:rsid w:val="001B7D0A"/>
    <w:rsid w:val="001C56C7"/>
    <w:rsid w:val="001C7543"/>
    <w:rsid w:val="001C76A1"/>
    <w:rsid w:val="001D19E7"/>
    <w:rsid w:val="001D7EE9"/>
    <w:rsid w:val="001E104E"/>
    <w:rsid w:val="001E4CA6"/>
    <w:rsid w:val="001F4B6C"/>
    <w:rsid w:val="002031DB"/>
    <w:rsid w:val="00203F93"/>
    <w:rsid w:val="00212D69"/>
    <w:rsid w:val="002136D8"/>
    <w:rsid w:val="00214D1F"/>
    <w:rsid w:val="0022282A"/>
    <w:rsid w:val="002236E2"/>
    <w:rsid w:val="00232611"/>
    <w:rsid w:val="002353BD"/>
    <w:rsid w:val="00241944"/>
    <w:rsid w:val="00242E8B"/>
    <w:rsid w:val="00244963"/>
    <w:rsid w:val="00251A52"/>
    <w:rsid w:val="00252C02"/>
    <w:rsid w:val="00256DE1"/>
    <w:rsid w:val="002603B9"/>
    <w:rsid w:val="0026292E"/>
    <w:rsid w:val="00263A16"/>
    <w:rsid w:val="00265E76"/>
    <w:rsid w:val="00266CC1"/>
    <w:rsid w:val="002753B9"/>
    <w:rsid w:val="00285920"/>
    <w:rsid w:val="0029360D"/>
    <w:rsid w:val="002A1BAA"/>
    <w:rsid w:val="002B2C6C"/>
    <w:rsid w:val="002B5AEB"/>
    <w:rsid w:val="002B63B4"/>
    <w:rsid w:val="002C27AD"/>
    <w:rsid w:val="002D29F0"/>
    <w:rsid w:val="002D41BE"/>
    <w:rsid w:val="002E1BF2"/>
    <w:rsid w:val="002E320F"/>
    <w:rsid w:val="002F08AC"/>
    <w:rsid w:val="002F1A97"/>
    <w:rsid w:val="002F3F8A"/>
    <w:rsid w:val="002F501D"/>
    <w:rsid w:val="002F60E8"/>
    <w:rsid w:val="002F62DB"/>
    <w:rsid w:val="00301ECC"/>
    <w:rsid w:val="00305193"/>
    <w:rsid w:val="00307FDF"/>
    <w:rsid w:val="00311FB3"/>
    <w:rsid w:val="00315A17"/>
    <w:rsid w:val="00316D0E"/>
    <w:rsid w:val="0031747F"/>
    <w:rsid w:val="00351C35"/>
    <w:rsid w:val="003555C8"/>
    <w:rsid w:val="0035735B"/>
    <w:rsid w:val="00357E81"/>
    <w:rsid w:val="003600F8"/>
    <w:rsid w:val="00372697"/>
    <w:rsid w:val="00372BBE"/>
    <w:rsid w:val="003800B4"/>
    <w:rsid w:val="00382FEA"/>
    <w:rsid w:val="003944CB"/>
    <w:rsid w:val="003951E9"/>
    <w:rsid w:val="003A3BBC"/>
    <w:rsid w:val="003A3D42"/>
    <w:rsid w:val="003B3E2F"/>
    <w:rsid w:val="003C28BD"/>
    <w:rsid w:val="003C3587"/>
    <w:rsid w:val="003C5DE1"/>
    <w:rsid w:val="003D0D46"/>
    <w:rsid w:val="003D5C39"/>
    <w:rsid w:val="0041224B"/>
    <w:rsid w:val="00414866"/>
    <w:rsid w:val="00417C18"/>
    <w:rsid w:val="00421882"/>
    <w:rsid w:val="00427883"/>
    <w:rsid w:val="0043417C"/>
    <w:rsid w:val="004378E7"/>
    <w:rsid w:val="004411A1"/>
    <w:rsid w:val="004578E2"/>
    <w:rsid w:val="00463773"/>
    <w:rsid w:val="004671F4"/>
    <w:rsid w:val="0048244F"/>
    <w:rsid w:val="00485BCC"/>
    <w:rsid w:val="0049102F"/>
    <w:rsid w:val="00492D02"/>
    <w:rsid w:val="0049624E"/>
    <w:rsid w:val="004976ED"/>
    <w:rsid w:val="004A3FA3"/>
    <w:rsid w:val="004A669D"/>
    <w:rsid w:val="004C2927"/>
    <w:rsid w:val="004C297A"/>
    <w:rsid w:val="004C3AFF"/>
    <w:rsid w:val="004D3346"/>
    <w:rsid w:val="004D426E"/>
    <w:rsid w:val="004D47D4"/>
    <w:rsid w:val="004D6F4C"/>
    <w:rsid w:val="004F4EA3"/>
    <w:rsid w:val="00503A48"/>
    <w:rsid w:val="00506618"/>
    <w:rsid w:val="0051734A"/>
    <w:rsid w:val="00526757"/>
    <w:rsid w:val="005307A3"/>
    <w:rsid w:val="00531014"/>
    <w:rsid w:val="00535CC7"/>
    <w:rsid w:val="005402F3"/>
    <w:rsid w:val="0054152A"/>
    <w:rsid w:val="0054195F"/>
    <w:rsid w:val="00542E85"/>
    <w:rsid w:val="00563A49"/>
    <w:rsid w:val="005665F1"/>
    <w:rsid w:val="005674BA"/>
    <w:rsid w:val="00573D30"/>
    <w:rsid w:val="00580014"/>
    <w:rsid w:val="00581543"/>
    <w:rsid w:val="00582FBB"/>
    <w:rsid w:val="00583C28"/>
    <w:rsid w:val="00585043"/>
    <w:rsid w:val="005866FD"/>
    <w:rsid w:val="005A1402"/>
    <w:rsid w:val="005A5D64"/>
    <w:rsid w:val="005B1022"/>
    <w:rsid w:val="005B306B"/>
    <w:rsid w:val="005B5B90"/>
    <w:rsid w:val="005C0C4B"/>
    <w:rsid w:val="005C5128"/>
    <w:rsid w:val="005D4C13"/>
    <w:rsid w:val="005D5C78"/>
    <w:rsid w:val="005D6EE8"/>
    <w:rsid w:val="005D6F08"/>
    <w:rsid w:val="005E4237"/>
    <w:rsid w:val="005F3E19"/>
    <w:rsid w:val="00601365"/>
    <w:rsid w:val="0060235B"/>
    <w:rsid w:val="006142C7"/>
    <w:rsid w:val="00615727"/>
    <w:rsid w:val="00622D51"/>
    <w:rsid w:val="00625181"/>
    <w:rsid w:val="0062686C"/>
    <w:rsid w:val="00630A24"/>
    <w:rsid w:val="00640D4E"/>
    <w:rsid w:val="00641A85"/>
    <w:rsid w:val="006505F4"/>
    <w:rsid w:val="00660C50"/>
    <w:rsid w:val="006639C3"/>
    <w:rsid w:val="00675939"/>
    <w:rsid w:val="00676F56"/>
    <w:rsid w:val="006858E2"/>
    <w:rsid w:val="006A6EBF"/>
    <w:rsid w:val="006B3F47"/>
    <w:rsid w:val="006B4DF9"/>
    <w:rsid w:val="006C30D4"/>
    <w:rsid w:val="006C6DC2"/>
    <w:rsid w:val="006C6DFF"/>
    <w:rsid w:val="006C74CC"/>
    <w:rsid w:val="006D2A69"/>
    <w:rsid w:val="006D6155"/>
    <w:rsid w:val="006E1C48"/>
    <w:rsid w:val="006E50C1"/>
    <w:rsid w:val="006E798E"/>
    <w:rsid w:val="006E7E00"/>
    <w:rsid w:val="006F3461"/>
    <w:rsid w:val="006F65D8"/>
    <w:rsid w:val="006F70B7"/>
    <w:rsid w:val="00702741"/>
    <w:rsid w:val="00703401"/>
    <w:rsid w:val="0071122C"/>
    <w:rsid w:val="00717C87"/>
    <w:rsid w:val="007215D6"/>
    <w:rsid w:val="007218CC"/>
    <w:rsid w:val="007223B1"/>
    <w:rsid w:val="007231D9"/>
    <w:rsid w:val="0072327D"/>
    <w:rsid w:val="00725C44"/>
    <w:rsid w:val="00727098"/>
    <w:rsid w:val="0073194D"/>
    <w:rsid w:val="00731EE2"/>
    <w:rsid w:val="0073229B"/>
    <w:rsid w:val="00737B45"/>
    <w:rsid w:val="00746B20"/>
    <w:rsid w:val="00747E4C"/>
    <w:rsid w:val="00750469"/>
    <w:rsid w:val="007517BD"/>
    <w:rsid w:val="00764300"/>
    <w:rsid w:val="00782626"/>
    <w:rsid w:val="00784526"/>
    <w:rsid w:val="0079481E"/>
    <w:rsid w:val="007A03DE"/>
    <w:rsid w:val="007A0427"/>
    <w:rsid w:val="007B5236"/>
    <w:rsid w:val="007C5129"/>
    <w:rsid w:val="007D6F4D"/>
    <w:rsid w:val="007D7C19"/>
    <w:rsid w:val="007E06DD"/>
    <w:rsid w:val="007E3CA2"/>
    <w:rsid w:val="007E712E"/>
    <w:rsid w:val="00800FED"/>
    <w:rsid w:val="00806E71"/>
    <w:rsid w:val="008130FB"/>
    <w:rsid w:val="00813614"/>
    <w:rsid w:val="008165B1"/>
    <w:rsid w:val="00825D83"/>
    <w:rsid w:val="00833D52"/>
    <w:rsid w:val="00836083"/>
    <w:rsid w:val="00836507"/>
    <w:rsid w:val="008377C6"/>
    <w:rsid w:val="0084393A"/>
    <w:rsid w:val="008624E4"/>
    <w:rsid w:val="00872912"/>
    <w:rsid w:val="0088757A"/>
    <w:rsid w:val="00893B61"/>
    <w:rsid w:val="0089797F"/>
    <w:rsid w:val="008B0230"/>
    <w:rsid w:val="008B50DC"/>
    <w:rsid w:val="008C0C02"/>
    <w:rsid w:val="008C0DED"/>
    <w:rsid w:val="008C3176"/>
    <w:rsid w:val="008D0FF3"/>
    <w:rsid w:val="008D3E91"/>
    <w:rsid w:val="008D574E"/>
    <w:rsid w:val="008F0A17"/>
    <w:rsid w:val="008F0FEF"/>
    <w:rsid w:val="00901280"/>
    <w:rsid w:val="00910B14"/>
    <w:rsid w:val="0091158E"/>
    <w:rsid w:val="009246E7"/>
    <w:rsid w:val="00925B97"/>
    <w:rsid w:val="00933BCE"/>
    <w:rsid w:val="00935E1C"/>
    <w:rsid w:val="009376B6"/>
    <w:rsid w:val="009510E7"/>
    <w:rsid w:val="009544D1"/>
    <w:rsid w:val="00955DD4"/>
    <w:rsid w:val="009576FD"/>
    <w:rsid w:val="00965C3A"/>
    <w:rsid w:val="0096618A"/>
    <w:rsid w:val="00984681"/>
    <w:rsid w:val="00986692"/>
    <w:rsid w:val="00987FB0"/>
    <w:rsid w:val="00991265"/>
    <w:rsid w:val="009923E1"/>
    <w:rsid w:val="00997042"/>
    <w:rsid w:val="009A2BAF"/>
    <w:rsid w:val="009A4E0E"/>
    <w:rsid w:val="009C2096"/>
    <w:rsid w:val="009C35A9"/>
    <w:rsid w:val="009C7995"/>
    <w:rsid w:val="009D71A6"/>
    <w:rsid w:val="009E1DB2"/>
    <w:rsid w:val="009F1B1F"/>
    <w:rsid w:val="009F2D3F"/>
    <w:rsid w:val="00A006F0"/>
    <w:rsid w:val="00A03BC6"/>
    <w:rsid w:val="00A1237B"/>
    <w:rsid w:val="00A20585"/>
    <w:rsid w:val="00A2642D"/>
    <w:rsid w:val="00A27E03"/>
    <w:rsid w:val="00A422BA"/>
    <w:rsid w:val="00A44C06"/>
    <w:rsid w:val="00A52FE2"/>
    <w:rsid w:val="00A53F7A"/>
    <w:rsid w:val="00A54FFD"/>
    <w:rsid w:val="00A5719E"/>
    <w:rsid w:val="00A61C47"/>
    <w:rsid w:val="00A67647"/>
    <w:rsid w:val="00A74540"/>
    <w:rsid w:val="00A74886"/>
    <w:rsid w:val="00A91154"/>
    <w:rsid w:val="00A95857"/>
    <w:rsid w:val="00AA0DD5"/>
    <w:rsid w:val="00AA1E8B"/>
    <w:rsid w:val="00AA6BAE"/>
    <w:rsid w:val="00AB6C57"/>
    <w:rsid w:val="00AC7E25"/>
    <w:rsid w:val="00AD507F"/>
    <w:rsid w:val="00AD5E9F"/>
    <w:rsid w:val="00AE7069"/>
    <w:rsid w:val="00AF1EDF"/>
    <w:rsid w:val="00B06D76"/>
    <w:rsid w:val="00B125E1"/>
    <w:rsid w:val="00B16F5B"/>
    <w:rsid w:val="00B21BDD"/>
    <w:rsid w:val="00B2253E"/>
    <w:rsid w:val="00B23C48"/>
    <w:rsid w:val="00B25AA5"/>
    <w:rsid w:val="00B31E08"/>
    <w:rsid w:val="00B42140"/>
    <w:rsid w:val="00B458B9"/>
    <w:rsid w:val="00B526BF"/>
    <w:rsid w:val="00B529B9"/>
    <w:rsid w:val="00B63966"/>
    <w:rsid w:val="00B67FEE"/>
    <w:rsid w:val="00B70736"/>
    <w:rsid w:val="00B72CAA"/>
    <w:rsid w:val="00B80C19"/>
    <w:rsid w:val="00B86D11"/>
    <w:rsid w:val="00B9190C"/>
    <w:rsid w:val="00B93357"/>
    <w:rsid w:val="00BA1288"/>
    <w:rsid w:val="00BA4A38"/>
    <w:rsid w:val="00BB0094"/>
    <w:rsid w:val="00BB4C24"/>
    <w:rsid w:val="00BB613C"/>
    <w:rsid w:val="00BB732C"/>
    <w:rsid w:val="00BC0856"/>
    <w:rsid w:val="00BC3133"/>
    <w:rsid w:val="00BD28E0"/>
    <w:rsid w:val="00BE4B2A"/>
    <w:rsid w:val="00BE60C1"/>
    <w:rsid w:val="00BE65D2"/>
    <w:rsid w:val="00BE6BB7"/>
    <w:rsid w:val="00BE761B"/>
    <w:rsid w:val="00BF2D06"/>
    <w:rsid w:val="00BF6DA0"/>
    <w:rsid w:val="00BF75F0"/>
    <w:rsid w:val="00C03A78"/>
    <w:rsid w:val="00C04032"/>
    <w:rsid w:val="00C05C6B"/>
    <w:rsid w:val="00C2132D"/>
    <w:rsid w:val="00C238A5"/>
    <w:rsid w:val="00C25E03"/>
    <w:rsid w:val="00C322C5"/>
    <w:rsid w:val="00C379F9"/>
    <w:rsid w:val="00C40442"/>
    <w:rsid w:val="00C436B0"/>
    <w:rsid w:val="00C47B51"/>
    <w:rsid w:val="00C501D3"/>
    <w:rsid w:val="00C504A6"/>
    <w:rsid w:val="00C51485"/>
    <w:rsid w:val="00C51FCA"/>
    <w:rsid w:val="00C55E49"/>
    <w:rsid w:val="00C574AF"/>
    <w:rsid w:val="00C61F04"/>
    <w:rsid w:val="00C76B37"/>
    <w:rsid w:val="00C80D0B"/>
    <w:rsid w:val="00C92016"/>
    <w:rsid w:val="00CA1A62"/>
    <w:rsid w:val="00CA49D3"/>
    <w:rsid w:val="00CB1881"/>
    <w:rsid w:val="00CB63D5"/>
    <w:rsid w:val="00CC0094"/>
    <w:rsid w:val="00CC2D49"/>
    <w:rsid w:val="00CD1D09"/>
    <w:rsid w:val="00CD5B10"/>
    <w:rsid w:val="00CD6439"/>
    <w:rsid w:val="00CE47A6"/>
    <w:rsid w:val="00CE4F78"/>
    <w:rsid w:val="00CE7C2E"/>
    <w:rsid w:val="00CE7FA6"/>
    <w:rsid w:val="00CF1C07"/>
    <w:rsid w:val="00D03491"/>
    <w:rsid w:val="00D0533E"/>
    <w:rsid w:val="00D06650"/>
    <w:rsid w:val="00D17079"/>
    <w:rsid w:val="00D25543"/>
    <w:rsid w:val="00D25E80"/>
    <w:rsid w:val="00D25FAC"/>
    <w:rsid w:val="00D26586"/>
    <w:rsid w:val="00D27FDA"/>
    <w:rsid w:val="00D30035"/>
    <w:rsid w:val="00D33DB0"/>
    <w:rsid w:val="00D34B3A"/>
    <w:rsid w:val="00D4101D"/>
    <w:rsid w:val="00D477A2"/>
    <w:rsid w:val="00D5130E"/>
    <w:rsid w:val="00D52801"/>
    <w:rsid w:val="00D5773A"/>
    <w:rsid w:val="00D57984"/>
    <w:rsid w:val="00D651C4"/>
    <w:rsid w:val="00D73A11"/>
    <w:rsid w:val="00D742FB"/>
    <w:rsid w:val="00D816AD"/>
    <w:rsid w:val="00D85300"/>
    <w:rsid w:val="00D85982"/>
    <w:rsid w:val="00D87DF7"/>
    <w:rsid w:val="00D901D7"/>
    <w:rsid w:val="00D9599D"/>
    <w:rsid w:val="00DC0259"/>
    <w:rsid w:val="00DC114D"/>
    <w:rsid w:val="00DC1F73"/>
    <w:rsid w:val="00DC2519"/>
    <w:rsid w:val="00DC665E"/>
    <w:rsid w:val="00DC6F8B"/>
    <w:rsid w:val="00DD0A16"/>
    <w:rsid w:val="00DD121E"/>
    <w:rsid w:val="00DE45C6"/>
    <w:rsid w:val="00DE73D0"/>
    <w:rsid w:val="00DF1C0F"/>
    <w:rsid w:val="00DF48CB"/>
    <w:rsid w:val="00E0146A"/>
    <w:rsid w:val="00E06182"/>
    <w:rsid w:val="00E101CA"/>
    <w:rsid w:val="00E14903"/>
    <w:rsid w:val="00E17DB2"/>
    <w:rsid w:val="00E20F4F"/>
    <w:rsid w:val="00E2526A"/>
    <w:rsid w:val="00E336F8"/>
    <w:rsid w:val="00E416B2"/>
    <w:rsid w:val="00E42A61"/>
    <w:rsid w:val="00E4728B"/>
    <w:rsid w:val="00E50DC5"/>
    <w:rsid w:val="00E553DD"/>
    <w:rsid w:val="00E5546B"/>
    <w:rsid w:val="00E5713B"/>
    <w:rsid w:val="00E602D5"/>
    <w:rsid w:val="00E666FE"/>
    <w:rsid w:val="00E700D9"/>
    <w:rsid w:val="00E722DE"/>
    <w:rsid w:val="00E727F4"/>
    <w:rsid w:val="00E73AA0"/>
    <w:rsid w:val="00E74B6C"/>
    <w:rsid w:val="00E7602B"/>
    <w:rsid w:val="00E81CA1"/>
    <w:rsid w:val="00E85200"/>
    <w:rsid w:val="00E860B6"/>
    <w:rsid w:val="00E86D15"/>
    <w:rsid w:val="00E87B73"/>
    <w:rsid w:val="00E92B79"/>
    <w:rsid w:val="00EB3915"/>
    <w:rsid w:val="00EC72F8"/>
    <w:rsid w:val="00ED07E5"/>
    <w:rsid w:val="00EE2110"/>
    <w:rsid w:val="00EE2E29"/>
    <w:rsid w:val="00EE31A7"/>
    <w:rsid w:val="00EE4D53"/>
    <w:rsid w:val="00EE6F4D"/>
    <w:rsid w:val="00EF7EEB"/>
    <w:rsid w:val="00F030C5"/>
    <w:rsid w:val="00F109E0"/>
    <w:rsid w:val="00F130B9"/>
    <w:rsid w:val="00F141FE"/>
    <w:rsid w:val="00F152D7"/>
    <w:rsid w:val="00F1665F"/>
    <w:rsid w:val="00F172F7"/>
    <w:rsid w:val="00F23998"/>
    <w:rsid w:val="00F27506"/>
    <w:rsid w:val="00F30913"/>
    <w:rsid w:val="00F30C7A"/>
    <w:rsid w:val="00F30F0A"/>
    <w:rsid w:val="00F31552"/>
    <w:rsid w:val="00F37E0C"/>
    <w:rsid w:val="00F43258"/>
    <w:rsid w:val="00F469CF"/>
    <w:rsid w:val="00F472F4"/>
    <w:rsid w:val="00F50392"/>
    <w:rsid w:val="00F6112D"/>
    <w:rsid w:val="00F63ED2"/>
    <w:rsid w:val="00F66040"/>
    <w:rsid w:val="00F70D2E"/>
    <w:rsid w:val="00F808CB"/>
    <w:rsid w:val="00F8782C"/>
    <w:rsid w:val="00F91DB8"/>
    <w:rsid w:val="00F948DF"/>
    <w:rsid w:val="00FA0ACE"/>
    <w:rsid w:val="00FA1909"/>
    <w:rsid w:val="00FA4DED"/>
    <w:rsid w:val="00FA5F96"/>
    <w:rsid w:val="00FA7991"/>
    <w:rsid w:val="00FC0C31"/>
    <w:rsid w:val="00FD0274"/>
    <w:rsid w:val="00FD16DD"/>
    <w:rsid w:val="00FD1782"/>
    <w:rsid w:val="00FD2509"/>
    <w:rsid w:val="00FD46E0"/>
    <w:rsid w:val="00FE7AB1"/>
    <w:rsid w:val="00FE7FBD"/>
    <w:rsid w:val="00FF30B0"/>
    <w:rsid w:val="00FF36AE"/>
    <w:rsid w:val="00FF5A70"/>
    <w:rsid w:val="00FF7103"/>
    <w:rsid w:val="00FF7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33F0BD"/>
  <w15:docId w15:val="{A56FC0C8-F485-4BDC-9935-E3AF2E68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B73"/>
  </w:style>
  <w:style w:type="paragraph" w:styleId="Footer">
    <w:name w:val="footer"/>
    <w:basedOn w:val="Normal"/>
    <w:link w:val="FooterChar"/>
    <w:uiPriority w:val="99"/>
    <w:unhideWhenUsed/>
    <w:rsid w:val="00E87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B73"/>
  </w:style>
  <w:style w:type="paragraph" w:styleId="ListParagraph">
    <w:name w:val="List Paragraph"/>
    <w:basedOn w:val="Normal"/>
    <w:uiPriority w:val="34"/>
    <w:qFormat/>
    <w:rsid w:val="00E87B73"/>
    <w:pPr>
      <w:ind w:left="720"/>
      <w:contextualSpacing/>
    </w:pPr>
  </w:style>
  <w:style w:type="paragraph" w:styleId="FootnoteText">
    <w:name w:val="footnote text"/>
    <w:basedOn w:val="Normal"/>
    <w:link w:val="FootnoteTextChar"/>
    <w:uiPriority w:val="99"/>
    <w:semiHidden/>
    <w:unhideWhenUsed/>
    <w:rsid w:val="006759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5939"/>
    <w:rPr>
      <w:sz w:val="20"/>
      <w:szCs w:val="20"/>
    </w:rPr>
  </w:style>
  <w:style w:type="character" w:styleId="FootnoteReference">
    <w:name w:val="footnote reference"/>
    <w:basedOn w:val="DefaultParagraphFont"/>
    <w:uiPriority w:val="99"/>
    <w:semiHidden/>
    <w:unhideWhenUsed/>
    <w:rsid w:val="00675939"/>
    <w:rPr>
      <w:vertAlign w:val="superscript"/>
    </w:rPr>
  </w:style>
  <w:style w:type="character" w:styleId="CommentReference">
    <w:name w:val="annotation reference"/>
    <w:basedOn w:val="DefaultParagraphFont"/>
    <w:uiPriority w:val="99"/>
    <w:semiHidden/>
    <w:unhideWhenUsed/>
    <w:rsid w:val="008C3176"/>
    <w:rPr>
      <w:sz w:val="16"/>
      <w:szCs w:val="16"/>
    </w:rPr>
  </w:style>
  <w:style w:type="paragraph" w:styleId="CommentText">
    <w:name w:val="annotation text"/>
    <w:basedOn w:val="Normal"/>
    <w:link w:val="CommentTextChar"/>
    <w:uiPriority w:val="99"/>
    <w:semiHidden/>
    <w:unhideWhenUsed/>
    <w:rsid w:val="008C3176"/>
    <w:pPr>
      <w:spacing w:line="240" w:lineRule="auto"/>
    </w:pPr>
    <w:rPr>
      <w:sz w:val="20"/>
      <w:szCs w:val="20"/>
    </w:rPr>
  </w:style>
  <w:style w:type="character" w:customStyle="1" w:styleId="CommentTextChar">
    <w:name w:val="Comment Text Char"/>
    <w:basedOn w:val="DefaultParagraphFont"/>
    <w:link w:val="CommentText"/>
    <w:uiPriority w:val="99"/>
    <w:semiHidden/>
    <w:rsid w:val="008C3176"/>
    <w:rPr>
      <w:sz w:val="20"/>
      <w:szCs w:val="20"/>
    </w:rPr>
  </w:style>
  <w:style w:type="paragraph" w:styleId="CommentSubject">
    <w:name w:val="annotation subject"/>
    <w:basedOn w:val="CommentText"/>
    <w:next w:val="CommentText"/>
    <w:link w:val="CommentSubjectChar"/>
    <w:uiPriority w:val="99"/>
    <w:semiHidden/>
    <w:unhideWhenUsed/>
    <w:rsid w:val="008C3176"/>
    <w:rPr>
      <w:b/>
      <w:bCs/>
    </w:rPr>
  </w:style>
  <w:style w:type="character" w:customStyle="1" w:styleId="CommentSubjectChar">
    <w:name w:val="Comment Subject Char"/>
    <w:basedOn w:val="CommentTextChar"/>
    <w:link w:val="CommentSubject"/>
    <w:uiPriority w:val="99"/>
    <w:semiHidden/>
    <w:rsid w:val="008C3176"/>
    <w:rPr>
      <w:b/>
      <w:bCs/>
      <w:sz w:val="20"/>
      <w:szCs w:val="20"/>
    </w:rPr>
  </w:style>
  <w:style w:type="paragraph" w:styleId="BalloonText">
    <w:name w:val="Balloon Text"/>
    <w:basedOn w:val="Normal"/>
    <w:link w:val="BalloonTextChar"/>
    <w:uiPriority w:val="99"/>
    <w:semiHidden/>
    <w:unhideWhenUsed/>
    <w:rsid w:val="008C3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176"/>
    <w:rPr>
      <w:rFonts w:ascii="Tahoma" w:hAnsi="Tahoma" w:cs="Tahoma"/>
      <w:sz w:val="16"/>
      <w:szCs w:val="16"/>
    </w:rPr>
  </w:style>
  <w:style w:type="character" w:styleId="PlaceholderText">
    <w:name w:val="Placeholder Text"/>
    <w:basedOn w:val="DefaultParagraphFont"/>
    <w:uiPriority w:val="99"/>
    <w:semiHidden/>
    <w:rsid w:val="008D574E"/>
    <w:rPr>
      <w:color w:val="808080"/>
    </w:rPr>
  </w:style>
  <w:style w:type="table" w:styleId="TableGrid">
    <w:name w:val="Table Grid"/>
    <w:basedOn w:val="TableNormal"/>
    <w:uiPriority w:val="39"/>
    <w:rsid w:val="008D57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3454C"/>
    <w:pPr>
      <w:spacing w:after="0" w:line="240" w:lineRule="auto"/>
    </w:pPr>
  </w:style>
  <w:style w:type="character" w:styleId="Hyperlink">
    <w:name w:val="Hyperlink"/>
    <w:basedOn w:val="DefaultParagraphFont"/>
    <w:uiPriority w:val="99"/>
    <w:unhideWhenUsed/>
    <w:rsid w:val="001332C9"/>
    <w:rPr>
      <w:color w:val="0000FF"/>
      <w:u w:val="single"/>
    </w:rPr>
  </w:style>
  <w:style w:type="character" w:customStyle="1" w:styleId="apple-converted-space">
    <w:name w:val="apple-converted-space"/>
    <w:basedOn w:val="DefaultParagraphFont"/>
    <w:rsid w:val="00133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hyperlink" Target="http://dx.doi.org/10.2139/ssrn.2440003" TargetMode="External"/><Relationship Id="rId4" Type="http://schemas.openxmlformats.org/officeDocument/2006/relationships/settings" Target="settings.xml"/><Relationship Id="rId9" Type="http://schemas.openxmlformats.org/officeDocument/2006/relationships/hyperlink" Target="http://ssrn.com/abstract=244000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507E7-88C7-4BD6-B1FA-57AB1404C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97</Pages>
  <Words>9837</Words>
  <Characters>56071</Characters>
  <Application>Microsoft Office Word</Application>
  <DocSecurity>4</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Chapman University</Company>
  <LinksUpToDate>false</LinksUpToDate>
  <CharactersWithSpaces>65777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Winn, Abel</dc:creator>
  <cp:lastModifiedBy>Luetje, Megan</cp:lastModifiedBy>
  <cp:revision>2</cp:revision>
  <dcterms:created xsi:type="dcterms:W3CDTF">2014-10-22T22:19:00Z</dcterms:created>
  <dcterms:modified xsi:type="dcterms:W3CDTF">2014-10-22T22:19:00Z</dcterms:modified>
</cp:coreProperties>
</file>